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Техническое задание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поставку материалов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Предмет закупки: «</w:t>
      </w:r>
      <w:bookmarkStart w:id="0" w:name="__DdeLink__1424_1881465235"/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Сборные железобетонные неподвижные опоры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для труб в ППУ</w:t>
      </w:r>
      <w:bookmarkEnd w:id="0"/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Снежинск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18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Техническое задание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поставку материалов: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«Сборные железобетонные неподвижные опоры для труб в ППУ»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для объекта: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 xml:space="preserve">«Строительство магистральной теплосети мкр.16А»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СОДЕРЖАНИЕ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РАЗДЕЛ 1. ОБЩИЕ СВЕДЕНИЯ 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Подраздел 1.1 Наименование 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1.2 Сведения о новизне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1.3 Этапы разработки / изготовления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1.4 Документы для разработки / изготовления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1.5 Код ОКДП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2. ОБЛАСТЬ ПРИМЕНЕНИЯ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3. УСЛОВИЯ ЭКСПЛУАТАЦИИ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4. ТЕХНИЧЕСКИЕ ТРЕБОВАНИЯ</w:t>
      </w:r>
    </w:p>
    <w:p>
      <w:pPr>
        <w:pStyle w:val="Normal"/>
        <w:spacing w:lineRule="auto" w:line="240" w:before="0" w:after="0"/>
        <w:ind w:left="2694" w:hanging="184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Подраздел 4.1 Технические, функциональные и качественные характеристики (потребительские свойства) товаров 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Подраздел 4.2. Требования к надежности </w:t>
      </w:r>
    </w:p>
    <w:p>
      <w:pPr>
        <w:pStyle w:val="Normal"/>
        <w:spacing w:lineRule="auto" w:line="240" w:before="0" w:after="0"/>
        <w:ind w:left="2694" w:hanging="184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4.3. Требования к составным частям, исходным и эксплуатационным материалам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Подраздел 4.4 Требования к маркировке 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4.5 Требования к упаковке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5. ТРЕБОВАНИЯ ПО ПРАВИЛАМ СДАЧИ И ПРИЁМКИ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851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5.1 Порядок сдачи и приё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мки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left="2694" w:hanging="184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5.2 Требования по передаче заказчику технических и иных документов при поставке товаров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6. ТРЕБОВАНИЯ К ТРАНСПОРТИРОВАНИЮ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7. ТРЕБОВАНИЯ К ХРАНЕНИЮ</w:t>
      </w:r>
    </w:p>
    <w:p>
      <w:pPr>
        <w:pStyle w:val="Normal"/>
        <w:spacing w:lineRule="auto" w:line="240" w:before="0" w:after="0"/>
        <w:ind w:left="1418" w:hanging="141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8. ТРЕБОВАНИЯ К ОБЪЕМУ И/ИЛИ СРОКУ ПРЕДОСТАВЛЕНИЯ ГАРАНТИЙ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9. ЭКОЛОГИЧЕСКИЕ ТРЕБОВАНИЯ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10. ТРЕБОВАНИЯ К КАЧЕСТВУ</w:t>
      </w:r>
    </w:p>
    <w:p>
      <w:pPr>
        <w:pStyle w:val="Normal"/>
        <w:spacing w:lineRule="auto" w:line="240" w:before="0" w:after="0"/>
        <w:ind w:left="1418" w:hanging="141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11. ТРЕБОВАНИЯ К КОЛИЧЕСТВУ, МЕСТУ И СРОКУ (ПЕРИОДИЧНОСТИ) ПОСТАВКИ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firstLine="85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11.1. Требования к количеству поставки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11.2. Требования к месту поставки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Подраздел 11.3. Требования к сроку (периодичности) поставки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РАЗДЕЛ 13. ПЕРЕЧЕНЬ ПРИЛОЖЕНИЙ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1. ОБЩИЕ СВЕДЕНИЯ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57"/>
        <w:gridCol w:w="4088"/>
        <w:gridCol w:w="2552"/>
        <w:gridCol w:w="992"/>
        <w:gridCol w:w="992"/>
      </w:tblGrid>
      <w:tr>
        <w:trPr>
          <w:trHeight w:val="273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1.1 Наименование</w:t>
            </w:r>
          </w:p>
        </w:tc>
      </w:tr>
      <w:tr>
        <w:trPr>
          <w:trHeight w:val="399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01" w:leader="none"/>
              </w:tabs>
              <w:suppressAutoHyphens w:val="true"/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Сборные железобетонные неподвижные опоры (далее – НО) для труб сварных стальных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из стали 09Г2С по ГОСТ 19281-89 изолированных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ППУ-ПЭ ГОСТ 30732-2006 серии 313.ТС-008.017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(далее – продукция)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tabs>
                <w:tab w:val="left" w:pos="601" w:leader="none"/>
              </w:tabs>
              <w:suppressAutoHyphens w:val="true"/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1. Сборная железобетонная НО 150/250-НО-1-2п для труб Ст159 х4,5–1–250-ППУ–ПЭ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(далее – трубы сварные изолированные)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 СОДК.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2. Сборная железобетонная НО 200/355-НО-2-1п для труб Ст219 х 7–2–355-ППУ–ПЭ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 СОДК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1.2 Сведения о новизне</w:t>
            </w:r>
          </w:p>
        </w:tc>
      </w:tr>
      <w:tr>
        <w:trPr>
          <w:trHeight w:val="399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ind w:firstLine="459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1. Продукция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</w:rPr>
              <w:t>должна б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ыть новой (изготовление не ранее января 2018 года),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не бывшей в употреблении, не восстановленной, не контрафактной.</w:t>
            </w:r>
          </w:p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2. Трубы стальные изолированные и </w:t>
            </w:r>
            <w:bookmarkStart w:id="2" w:name="_Hlk356466017"/>
            <w:bookmarkEnd w:id="2"/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плиты ЖБИ, применяемые для изготовления сборных железобетонных НО, должны быть новыми (изготовление не ранее января 2018 года), не бывшими в употреблении, не восстановленными, не контрафактными. </w:t>
            </w:r>
          </w:p>
        </w:tc>
      </w:tr>
      <w:tr>
        <w:trPr>
          <w:trHeight w:val="305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1.3 Этапы разработки / изготовления</w:t>
            </w:r>
          </w:p>
        </w:tc>
      </w:tr>
      <w:tr>
        <w:trPr>
          <w:trHeight w:val="305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Сборные железобетонные НО изготавливают </w:t>
            </w: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</w:rPr>
              <w:t xml:space="preserve">по рабочему чертежу 313.ТС-008-017 альбома «Типовые решения прокладки трубопроводов тепловых сетей в изоляции из пенополиуритана </w:t>
            </w: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</w:rPr>
              <w:t xml:space="preserve">у 50÷600 мм» серия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313.ТС-008.000. Обозначение и состав сборной железобетонной НО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в соответствии с Таблицей 1.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Таблица 1.</w:t>
            </w:r>
          </w:p>
        </w:tc>
      </w:tr>
      <w:tr>
        <w:trPr>
          <w:trHeight w:val="62" w:hRule="atLeast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Нормативный документ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Масса, 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</w:tr>
      <w:tr>
        <w:trPr>
          <w:trHeight w:val="62" w:hRule="atLeast"/>
        </w:trPr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1.1 Сборная железобетонная НО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150/250 – НО-1-2п (для труб Ст159 х4,5 –1–250-ППУ–ПЭ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серия 313.ТС-008.017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62" w:hRule="atLeast"/>
        </w:trPr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1.2. Неподвижная опора Ст159-400х20-1-ППУ-ПЭ ГОСТ 30732-2006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для труб Ст159 х4,5 –1–250-ППУ–ПЭ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ГОСТ 30732-2006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62" w:hRule="atLeast"/>
        </w:trPr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2.1. Сборная железобетонная НО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200/355 – НО-2-1п (для труб Ст219 х7–2–355-ППУ–ПЭ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серия 313.ТС-008.017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4" w:leader="none"/>
              </w:tabs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2" w:hRule="atLeast"/>
        </w:trPr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2.2. Неподвижная опора Ст219-460х24- 2-ППУ-ПЭ ГОСТ 30732-2006 (для труб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Ст219 х7–2–355-ППУ–ПЭ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ГОСТ 30732-2006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1.4 Документы для разработки / изготовления</w:t>
            </w:r>
          </w:p>
        </w:tc>
      </w:tr>
      <w:tr>
        <w:trPr>
          <w:trHeight w:val="399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Трубы сварные стальные из стали марки 09Г2С по ГОСТ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19291-89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с индустриальной тепловой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</w:rPr>
              <w:t xml:space="preserve">изоляцией из ППУ в ПЭ (далее – трубы стальные изолированные) изготавливают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по ГОСТ 30732-2006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</w:rPr>
              <w:t>«Трубы и фасонные изделия стальные с тепловой изоляцией из пенополиуретана с защитной оболочкой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. Технические условия».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1.1.  Марка стали  09Г2С по ГОСТ 19291-89 «Прокат из стали повышенной прочности. Общие технические условия (с Изменением №1)».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1.2. Размеры и предельные отклонения по ГОСТ 10704-91  «Трубы стальные электросварные прямошовные. Сортамент (с Изменениями №1, 2)». 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1.3. Технические требования по ГОСТ 10705-80 «Трубы стальные электросварные. Технические условия (с Изменениями №1-8)». </w:t>
            </w:r>
          </w:p>
          <w:p>
            <w:pPr>
              <w:pStyle w:val="Normal"/>
              <w:widowControl w:val="false"/>
              <w:spacing w:lineRule="atLeast" w:line="10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2. НО стальные изолированные изготавливают в соответствии с ГОСТ 30732-2006</w:t>
            </w:r>
          </w:p>
          <w:p>
            <w:pPr>
              <w:pStyle w:val="Normal"/>
              <w:widowControl w:val="false"/>
              <w:spacing w:lineRule="atLeast" w:line="10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3. Индустриальная тепловая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shd w:fill="FFFFFF" w:val="clear"/>
              </w:rPr>
              <w:t>изоляция труб из пенополиуретана (ППУ) в полиэтиленовой оболочке (ПЭ) выполнена по ГОСТ 30732-2006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«Трубы и фасонные изделия стальные с тепловой изоляцией из пенополиуретана с защитной оболочкой. Технические условия».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shd w:fill="FFFFFF" w:val="clear"/>
              </w:rPr>
              <w:t xml:space="preserve"> ЖБИ (плиты)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должны соответствовать требованиям ГОСТ 13015-2012 «Изделия бетонные и железобетонные для строительства. Общие технические требования. Правила приёмки, маркировки, транспортирования и хранения».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Сборные железобетонные НО изготавливают </w:t>
            </w:r>
            <w:r>
              <w:rPr>
                <w:rFonts w:eastAsia="Times New Roman" w:cs="Times New Roman" w:ascii="Times New Roman" w:hAnsi="Times New Roman"/>
                <w:i/>
                <w:spacing w:val="2"/>
                <w:sz w:val="24"/>
                <w:szCs w:val="24"/>
              </w:rPr>
              <w:t xml:space="preserve">по рабочему чертежу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313.ТС-008.017. </w:t>
            </w:r>
            <w:r>
              <w:rPr>
                <w:rFonts w:eastAsia="Times New Roman" w:cs="Times New Roman" w:ascii="Times New Roman" w:hAnsi="Times New Roman"/>
                <w:i/>
                <w:spacing w:val="2"/>
                <w:sz w:val="24"/>
                <w:szCs w:val="24"/>
              </w:rPr>
              <w:t xml:space="preserve">альбома «Типовые решения…» серия 313.ТС-008.000 </w:t>
            </w:r>
          </w:p>
        </w:tc>
      </w:tr>
      <w:tr>
        <w:trPr>
          <w:trHeight w:val="217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1.5 Код ОКДП</w:t>
            </w:r>
          </w:p>
        </w:tc>
      </w:tr>
      <w:tr>
        <w:trPr>
          <w:trHeight w:val="222" w:hRule="atLeast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firstLine="425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24.20.33.000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2. ОБЛАСТЬ ПРИМЕНЕНИЯ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35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Неподвижные опоры предназначены для осуществления жесткости и защиты трубопровода от осевых воздействий компенсаторов, гидродинамических нагрузок, сил трения и других видов воздействия на трубопровод.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3. УСЛОВИЯ ЭКСПЛУАТАЦИИ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26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center" w:pos="4677" w:leader="none"/>
                <w:tab w:val="right" w:pos="9355" w:leader="none"/>
              </w:tabs>
              <w:spacing w:lineRule="auto" w:line="240" w:before="0" w:after="0"/>
              <w:ind w:right="33" w:firstLine="459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Трубопроводы тепловых сетей, теплоноситель – вода питьевая с параметрами Т=150-70ºС; Р = 1,6 МПа.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4. ТЕХНИЧЕСКИЕ ТРЕБОВАНИЯ</w:t>
      </w:r>
    </w:p>
    <w:tbl>
      <w:tblPr>
        <w:tblW w:w="968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67"/>
        <w:gridCol w:w="342"/>
        <w:gridCol w:w="775"/>
        <w:gridCol w:w="1069"/>
        <w:gridCol w:w="305"/>
        <w:gridCol w:w="1112"/>
        <w:gridCol w:w="534"/>
        <w:gridCol w:w="557"/>
        <w:gridCol w:w="564"/>
        <w:gridCol w:w="375"/>
        <w:gridCol w:w="853"/>
        <w:gridCol w:w="281"/>
        <w:gridCol w:w="851"/>
      </w:tblGrid>
      <w:tr>
        <w:trPr>
          <w:trHeight w:val="335" w:hRule="atLeast"/>
        </w:trPr>
        <w:tc>
          <w:tcPr>
            <w:tcW w:w="968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4.1 Технические, функциональные и качественные характеристики (потребительские свойства) товаров</w:t>
            </w:r>
          </w:p>
        </w:tc>
      </w:tr>
      <w:tr>
        <w:trPr>
          <w:trHeight w:val="130" w:hRule="atLeast"/>
        </w:trPr>
        <w:tc>
          <w:tcPr>
            <w:tcW w:w="968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Каждая сборная железобетонная НО серии 313.ТС – 008.017 состоит из: 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Железобетонная плита, размеры которой должны соответствовать приведенным в Таблице 2.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>Таблица 2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rPr>
          <w:trHeight w:val="463" w:hRule="atLeast"/>
        </w:trPr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8"/>
                <w:szCs w:val="18"/>
              </w:rPr>
              <w:t>Тип опоры</w:t>
            </w:r>
          </w:p>
        </w:tc>
        <w:tc>
          <w:tcPr>
            <w:tcW w:w="52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Размеры плиты, мм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spacing w:lineRule="auto" w:line="240" w:before="0" w:after="0"/>
              <w:ind w:right="33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Класс бетона по прочности на сжатие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Объём бетона,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м</w:t>
            </w:r>
            <w:r>
              <w:rPr>
                <w:rFonts w:cs="Times New Roman" w:ascii="Times New Roman" w:hAnsi="Times New Roman"/>
                <w:b/>
                <w:i/>
                <w:sz w:val="18"/>
                <w:szCs w:val="18"/>
                <w:vertAlign w:val="superscript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расстояние между центрами труб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толщина</w:t>
            </w:r>
          </w:p>
        </w:tc>
        <w:tc>
          <w:tcPr>
            <w:tcW w:w="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32"/>
              <w:jc w:val="both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ширина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04" w:hRule="atLeast"/>
        </w:trPr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НО-1-2п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440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spacing w:lineRule="auto" w:line="240" w:before="0" w:after="0"/>
              <w:ind w:right="33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В22,5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0,96</w:t>
            </w:r>
          </w:p>
        </w:tc>
      </w:tr>
      <w:tr>
        <w:trPr>
          <w:trHeight w:val="104" w:hRule="atLeast"/>
        </w:trPr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НО-2-1п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520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В22,5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1,7</w:t>
            </w:r>
          </w:p>
        </w:tc>
      </w:tr>
      <w:tr>
        <w:trPr>
          <w:trHeight w:val="114" w:hRule="atLeast"/>
        </w:trPr>
        <w:tc>
          <w:tcPr>
            <w:tcW w:w="968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before="120" w:after="160"/>
              <w:ind w:left="34" w:firstLine="425"/>
              <w:jc w:val="both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2. Неподвижных опор стальных изолированных по ГОСТ 30732-2006. </w:t>
            </w:r>
            <w:r>
              <w:rPr>
                <w:i/>
                <w:color w:val="000000"/>
                <w:sz w:val="24"/>
                <w:szCs w:val="24"/>
              </w:rPr>
              <w:t>Размеры НО стальных изолированных должны соответствовать приведённым в Таблице 3.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spacing w:before="240" w:after="160"/>
              <w:ind w:left="459" w:firstLine="284"/>
              <w:jc w:val="both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Таблица 3</w:t>
            </w:r>
          </w:p>
        </w:tc>
      </w:tr>
      <w:tr>
        <w:trPr>
          <w:trHeight w:val="519" w:hRule="atLeast"/>
        </w:trPr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Обозначение неподвижной опоры по ГОСТ 30732-2006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Диаметр и толщина стенки трубы, мм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Средний наружный диаметр по ПЭ оболочке, мм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Тип оболочки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 xml:space="preserve">Длина патрубка,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2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 xml:space="preserve">Размеры НО по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>ГОСТ 30732-2006</w:t>
            </w:r>
          </w:p>
        </w:tc>
      </w:tr>
      <w:tr>
        <w:trPr>
          <w:trHeight w:val="518" w:hRule="atLeast"/>
        </w:trPr>
        <w:tc>
          <w:tcPr>
            <w:tcW w:w="20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37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6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 xml:space="preserve">Высота,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мм</w:t>
            </w:r>
          </w:p>
        </w:tc>
        <w:tc>
          <w:tcPr>
            <w:tcW w:w="1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Толщина,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мм</w:t>
            </w:r>
          </w:p>
        </w:tc>
      </w:tr>
      <w:tr>
        <w:trPr>
          <w:trHeight w:val="114" w:hRule="atLeast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Неподвижная опора Ст159-400х20-1-ППУ-ПЭ ГОСТ 30732-2006 (для труб Ст219 х7–2–355-ППУ–ПЭ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1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159*4,5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1-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Стандарт-ный</w:t>
            </w:r>
          </w:p>
        </w:tc>
        <w:tc>
          <w:tcPr>
            <w:tcW w:w="1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400</w:t>
            </w:r>
          </w:p>
        </w:tc>
        <w:tc>
          <w:tcPr>
            <w:tcW w:w="1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pStyle w:val="Normal"/>
        <w:spacing w:lineRule="auto" w:line="240" w:before="120" w:after="0"/>
        <w:ind w:firstLine="709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</w:r>
      <w:r>
        <w:br w:type="page"/>
      </w:r>
    </w:p>
    <w:p>
      <w:pPr>
        <w:pStyle w:val="Normal"/>
        <w:spacing w:lineRule="auto" w:line="240" w:before="120" w:after="0"/>
        <w:ind w:firstLine="709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Окончание Таблицы3</w:t>
      </w:r>
    </w:p>
    <w:tbl>
      <w:tblPr>
        <w:tblW w:w="994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65"/>
        <w:gridCol w:w="1116"/>
        <w:gridCol w:w="788"/>
        <w:gridCol w:w="585"/>
        <w:gridCol w:w="1000"/>
        <w:gridCol w:w="647"/>
        <w:gridCol w:w="1120"/>
        <w:gridCol w:w="334"/>
        <w:gridCol w:w="895"/>
        <w:gridCol w:w="1389"/>
      </w:tblGrid>
      <w:tr>
        <w:trPr>
          <w:trHeight w:val="519" w:hRule="atLeast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Обозначение неподвижной опоры по ГОСТ 30732-2006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Диаметр и толщина стенки трубы, мм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Средний наружный диаметр по ПЭ оболочке, мм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Тип оболочки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 xml:space="preserve">Длина патрубка,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26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 xml:space="preserve">Размеры НО по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  <w:t>ГОСТ 30732-2006</w:t>
            </w:r>
          </w:p>
        </w:tc>
      </w:tr>
      <w:tr>
        <w:trPr>
          <w:trHeight w:val="518" w:hRule="atLeast"/>
        </w:trPr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37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6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8"/>
                <w:szCs w:val="18"/>
              </w:rPr>
            </w:r>
          </w:p>
        </w:tc>
        <w:tc>
          <w:tcPr>
            <w:tcW w:w="1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 xml:space="preserve">Высота,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мм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Толщина,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18"/>
                <w:szCs w:val="18"/>
              </w:rPr>
              <w:t>мм</w:t>
            </w:r>
          </w:p>
        </w:tc>
      </w:tr>
      <w:tr>
        <w:trPr>
          <w:trHeight w:val="114" w:hRule="atLeast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Неподвижная опора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Ст219-460х24-2-ППУ-ПЭ ГОСТ 30732-2006 (для труб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Ст219 х7–2–355-ППУ–ПЭ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ГОСТ 30732-2006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из стали 09Г2С по ГОСТ 19281-89) с СОДК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219*7,0</w:t>
            </w:r>
          </w:p>
        </w:tc>
        <w:tc>
          <w:tcPr>
            <w:tcW w:w="1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355</w:t>
            </w:r>
          </w:p>
        </w:tc>
        <w:tc>
          <w:tcPr>
            <w:tcW w:w="1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 – усиленный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460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4.2. Требования к надежности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Western"/>
              <w:spacing w:lineRule="auto" w:line="240" w:beforeAutospacing="0" w:before="0" w:after="0"/>
              <w:ind w:firstLine="459"/>
              <w:rPr>
                <w:i/>
                <w:i/>
                <w:color w:val="00000A"/>
              </w:rPr>
            </w:pPr>
            <w:r>
              <w:rPr>
                <w:i/>
                <w:iCs/>
                <w:color w:val="00000A"/>
              </w:rPr>
              <w:t>1. Высокая сопротивляемость к внешним нагрузкам.</w:t>
            </w:r>
          </w:p>
          <w:p>
            <w:pPr>
              <w:pStyle w:val="Western"/>
              <w:spacing w:lineRule="auto" w:line="240" w:beforeAutospacing="0" w:before="0" w:after="0"/>
              <w:ind w:firstLine="459"/>
              <w:rPr>
                <w:i/>
                <w:i/>
                <w:color w:val="00000A"/>
              </w:rPr>
            </w:pPr>
            <w:r>
              <w:rPr>
                <w:i/>
                <w:iCs/>
                <w:color w:val="00000A"/>
              </w:rPr>
              <w:t>2. Высокая прочность изделий.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3. Высокая долговечность.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4.3. Требования к составным частям, исходным и эксплуатационным материалам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43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Трубы сварные стальные (для НО стальных изолированных):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по ГОСТ 10705-80 «Трубы стальные электросварные. Технические условия (С изменениями 1,2,3,4,5,6,7)».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743" w:leader="none"/>
                <w:tab w:val="left" w:pos="851" w:leader="none"/>
                <w:tab w:val="left" w:pos="885" w:leader="none"/>
              </w:tabs>
              <w:spacing w:before="28" w:after="160"/>
              <w:ind w:left="34" w:firstLine="425"/>
              <w:jc w:val="both"/>
              <w:rPr>
                <w:bCs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Сортамент и размеры по ГОСТ 10704-91 «Трубы стальные электросварные прямошовные. Сортамент».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743" w:leader="none"/>
                <w:tab w:val="left" w:pos="851" w:leader="none"/>
                <w:tab w:val="left" w:pos="885" w:leader="none"/>
              </w:tabs>
              <w:spacing w:before="28" w:after="160"/>
              <w:ind w:left="34" w:firstLine="425"/>
              <w:jc w:val="both"/>
              <w:rPr>
                <w:bCs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Материал для труб сварных стальных изолированных – сталь марки 09Г2С по ГОСТ 19281-89 «Прокат из стали повышенной прочности. Общие технические условия (С изменениями №1)».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43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 стальные изолированные изготавливают в соответствии с ГОСТ 30732-2006.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43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  <w:shd w:fill="FFFFFF" w:val="clear"/>
              </w:rPr>
              <w:t xml:space="preserve">Плиты </w:t>
            </w:r>
            <w:r>
              <w:rPr>
                <w:i/>
                <w:sz w:val="24"/>
                <w:szCs w:val="24"/>
              </w:rPr>
              <w:t>для сборных железобетонных НО</w:t>
            </w:r>
            <w:r>
              <w:rPr>
                <w:i/>
                <w:spacing w:val="2"/>
                <w:sz w:val="24"/>
                <w:szCs w:val="24"/>
                <w:shd w:fill="FFFFFF" w:val="clear"/>
              </w:rPr>
              <w:t>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 бетона по прочности на сжатие (В22,5) должен соответствовать ГОСТ 13015-2012 «Изделия бетонные и железобетонные для строительства. Общие технические требования. Правила приёмки, маркировки, транспортирования и хранения». Прочность бетона поставляемой плиты на момент поставки должна достичь требуемой отпускной прочности. 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  <w:shd w:fill="FFFFFF" w:val="clear"/>
              </w:rPr>
              <w:t xml:space="preserve">Состав бетонных смесей для изготовления плит принимают по </w:t>
            </w:r>
            <w:r>
              <w:rPr>
                <w:i/>
                <w:sz w:val="24"/>
                <w:szCs w:val="24"/>
              </w:rPr>
              <w:t>ГОСТ 27006-86 «Бетон. Правила подбора состава».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Бетонные смеси приготавливают с использованием цементов, заполнителей, добавок и воды, требования к которым установлены ГОСТ 26633-2015 «Бетоны тяжелые и мелкозернистые. Технические условия».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Марки сталей для арматурных и закладных изделий, в том числе для монтажных петель должны соответствовать требованиям ГОСТ 10922-2012 «</w:t>
            </w:r>
            <w:r>
              <w:rPr>
                <w:i/>
                <w:spacing w:val="2"/>
                <w:sz w:val="24"/>
                <w:szCs w:val="24"/>
                <w:shd w:fill="FFFFFF" w:val="clear"/>
              </w:rPr>
              <w:t>Арматурные и закладные изделия, их сварные, вязанные и механические соединения для железобетонных конструкций. Общие технические условия».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val="left" w:pos="885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  <w:shd w:fill="FFFFFF" w:val="clear"/>
              </w:rPr>
              <w:t>Форма и размеры арматурных и закладных изделий и их положение в конструкциях должны соответствовать указанным в рабочих чертежах.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43" w:leader="none"/>
              </w:tabs>
              <w:spacing w:before="0" w:after="12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изготовления теплоизоляционного слоя применяют ППУ, характеристики которого должны соответствовать требованиям ГОСТ 30732-2006, приведённым в Таблице 4.</w:t>
            </w:r>
          </w:p>
          <w:p>
            <w:pPr>
              <w:pStyle w:val="ListParagraph"/>
              <w:tabs>
                <w:tab w:val="left" w:pos="743" w:leader="none"/>
              </w:tabs>
              <w:spacing w:before="0" w:after="12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ListParagraph"/>
              <w:tabs>
                <w:tab w:val="left" w:pos="743" w:leader="none"/>
              </w:tabs>
              <w:spacing w:before="0" w:after="12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ListParagraph"/>
              <w:tabs>
                <w:tab w:val="left" w:pos="743" w:leader="none"/>
              </w:tabs>
              <w:spacing w:before="0" w:after="12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ListParagraph"/>
              <w:tabs>
                <w:tab w:val="left" w:pos="743" w:leader="none"/>
                <w:tab w:val="left" w:pos="851" w:leader="none"/>
              </w:tabs>
              <w:spacing w:before="120" w:after="160"/>
              <w:ind w:left="527" w:hanging="0"/>
              <w:jc w:val="both"/>
              <w:rPr>
                <w:bCs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i/>
                <w:sz w:val="18"/>
                <w:szCs w:val="18"/>
              </w:rPr>
              <w:t>Таблица 4</w:t>
            </w:r>
          </w:p>
        </w:tc>
      </w:tr>
      <w:tr>
        <w:trPr>
          <w:trHeight w:val="52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28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Требования ГОСТ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3" w:hanging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0"/>
              </w:rPr>
              <w:t>Фактический показатель</w:t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Плотность, не менее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кг/м</w:t>
            </w:r>
            <w:r>
              <w:rPr>
                <w:rFonts w:eastAsia="Times New Roman" w:cs="Times New Roman" w:ascii="Times New Roman" w:hAnsi="Times New Roman"/>
                <w:i/>
                <w:vertAlign w:val="superscript"/>
              </w:rPr>
              <w:t>3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60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Прочность при сжатии, не менее 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МПа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Прочность при сдвиге в осевом направлении, не менее </w:t>
            </w:r>
          </w:p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=23±2</w:t>
            </w:r>
          </w:p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=140±2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МПа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0,12</w:t>
            </w:r>
          </w:p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Коэффициент теплопроводности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Вт/м °С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0,033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Водопоглощение по объёму за 24 ч, не более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48" w:hRule="atLeast"/>
        </w:trPr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Горючесть (по ГОСТ 30244-94) класс, не ниже 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Г4</w:t>
            </w:r>
          </w:p>
        </w:tc>
        <w:tc>
          <w:tcPr>
            <w:tcW w:w="2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999" w:leader="none"/>
              </w:tabs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92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shd w:fill="FFFFFF" w:val="clear"/>
              </w:rPr>
              <w:t>5. Для изготовления полиэтиленовых труб-оболочек должны применяться композиции полиэтилена трубных марок не ниже ПЭ-80 по ГОСТ 18559-2001 «Трубы напорные из полиэтилена. Технические условия (с Поправкой, с Изменениями №1, 2)» чёрного цвета.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4.4 Требования к маркировке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240"/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</w:rPr>
              <w:t>НО стальная изолированная: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1.2. Маркировка с указанием следующих данных в соответствии с ГОСТ 30732-2006: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 условное обозначение изделия;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 товарный знак или наименование предприятия-изготовителя;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 номер партии;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 дату изготовления.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1.2.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Маркировка должна быть нанесена на поверхность оболочки на расстоянии не менее 200 мм от торца изоляции несмываемой краской с помощью трафарета вручную или штампом. Допускается наносить маркировку на бирку (этикетку, прикреплённую к стальной трубе или оболочке).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1.3. Маркировочные надписи выполняют в соответствии с ГОСТ 14192-96 «Маркировка грузов (с Изменениями N 1, 2, 3)».</w:t>
            </w:r>
          </w:p>
          <w:p>
            <w:pPr>
              <w:pStyle w:val="ListParagraph"/>
              <w:spacing w:lineRule="auto" w:line="24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2. </w:t>
            </w:r>
            <w:r>
              <w:rPr>
                <w:i/>
                <w:sz w:val="24"/>
                <w:szCs w:val="24"/>
              </w:rPr>
              <w:t>Плита ЖБИ:</w:t>
            </w:r>
          </w:p>
          <w:p>
            <w:pPr>
              <w:pStyle w:val="ListParagraph"/>
              <w:spacing w:lineRule="auto" w:line="24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2.</w:t>
            </w:r>
            <w:r>
              <w:rPr>
                <w:i/>
                <w:sz w:val="24"/>
                <w:szCs w:val="24"/>
              </w:rPr>
              <w:t>1. Маркировка плит ЖБИ для сборной железобетонной НО в соответствии с требованиями ГОСТ 13015-2012 должна содержать: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маркировочные знаки (марку) изделия;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товарный знак или краткое наименование завода-изготовителя;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штамп технического контроля;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дату выпуска изделия;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массу изделия (для изделий, масса которых превышает 0,8 т);</w:t>
            </w:r>
          </w:p>
          <w:p>
            <w:pPr>
              <w:pStyle w:val="ListParagraph"/>
              <w:spacing w:lineRule="auto" w:line="240"/>
              <w:ind w:left="459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монтажные знаки.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2.2.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Маркировочные надписи тёмного цвета должны быть нанесены одним из способов, указанных в ГОСТ.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4.5 Требования к упаковке</w:t>
            </w:r>
          </w:p>
        </w:tc>
      </w:tr>
      <w:tr>
        <w:trPr>
          <w:trHeight w:val="335" w:hRule="atLeast"/>
        </w:trPr>
        <w:tc>
          <w:tcPr>
            <w:tcW w:w="99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Продукция должна поставляться в упаковке, обеспечивающей полную сохранность продукции и исключающей всякого рода повреждения при перевозке и хранении.</w:t>
            </w:r>
          </w:p>
        </w:tc>
      </w:tr>
    </w:tbl>
    <w:p>
      <w:pPr>
        <w:pStyle w:val="Normal"/>
        <w:spacing w:lineRule="auto" w:line="240" w:before="120" w:after="12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5. ТРЕБОВАНИЯ ПО ПРАВИЛАМ СДАЧИ И ПРИЁМКИ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5.1 Порядок сдачи и приёмки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/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Заказчик производит визуальный осмотр передаваемой продукции на отсутствие внешних дефектов. При обнаружении скрытых недостатков либо повреждений продукции при транспортировке Заказчик немедленно приостанавливает выгрузку и извещает об этом Поставщика для принятия совместного решения либо составление акта и выявления виновной стороны.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2. Товар проходит входной контроль в течение 3 рабочих дней, после поступления приходного ордера на склад, при отклонении качества продукции товар возвращается Поставщику за его счёт. Замена товара должна быть произведена в течение 10 (десяти) дней.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5.2 Требования по передаче заказчику технических и иных документов при поставке товаров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743" w:leader="none"/>
              </w:tabs>
              <w:spacing w:lineRule="auto" w:line="240"/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bookmarkStart w:id="3" w:name="OLE_LINK10"/>
            <w:bookmarkStart w:id="4" w:name="OLE_LINK9"/>
            <w:r>
              <w:rPr>
                <w:i/>
                <w:sz w:val="24"/>
                <w:szCs w:val="24"/>
              </w:rPr>
              <w:t>При поставке продукции Поставщик передаёт Заказчику следующие документы на каждую единицу поставляемой продукции: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Паспорт на сборную железобетонную НО.  </w:t>
            </w:r>
          </w:p>
          <w:p>
            <w:pPr>
              <w:pStyle w:val="Normal"/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2. Паспорт или, в случае невозможности предоставить оригинал паспорта допускается предоставлять заверенный Поставщиком (печать синего цвета, подпись, дата копирования), хорошо читаемую копию на НО стальные изолированные.</w:t>
            </w:r>
          </w:p>
          <w:p>
            <w:pPr>
              <w:pStyle w:val="Normal"/>
              <w:tabs>
                <w:tab w:val="left" w:pos="743" w:leader="none"/>
                <w:tab w:val="left" w:pos="1026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3. Подлинный или надлежаще заверенный сертификат и/или декларация соответствия требованиям ГОСТ 30732-2006;</w:t>
            </w:r>
          </w:p>
          <w:p>
            <w:pPr>
              <w:pStyle w:val="Normal"/>
              <w:tabs>
                <w:tab w:val="left" w:pos="743" w:leader="none"/>
                <w:tab w:val="left" w:pos="1026" w:leader="none"/>
              </w:tabs>
              <w:spacing w:lineRule="auto" w:line="240" w:before="0" w:after="0"/>
              <w:ind w:left="34" w:firstLine="425"/>
              <w:jc w:val="both"/>
              <w:rPr>
                <w:rStyle w:val="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4. Подлинный или надлежаще заверенный сертификат и/или декларацию соответствия, 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подтверждающий соответствие качества трубной продукции техническим нормам и требованиям ГОСТ 10704-91, ГОСТ 10705-80;</w:t>
            </w:r>
          </w:p>
          <w:p>
            <w:pPr>
              <w:pStyle w:val="Normal"/>
              <w:tabs>
                <w:tab w:val="left" w:pos="743" w:leader="none"/>
                <w:tab w:val="left" w:pos="1026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5. Подлинный или надлежаще заверенный сертификат и/или декларация соответствия,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 xml:space="preserve"> подтверждающий соответствие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железобетонных плит (используемых для изготовления сборных железобетонных НО) 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техническим нормам и требованиям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ГОСТ 13015-2012;</w:t>
            </w:r>
          </w:p>
          <w:p>
            <w:pPr>
              <w:pStyle w:val="Normal"/>
              <w:tabs>
                <w:tab w:val="left" w:pos="743" w:leader="none"/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6. Разрешение, выданное Федеральной службой по экологическому, технологическому и атомному надзору (далее – Ростехнадзор), на применение оборудования на ОПО, в соответствии с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 утверждённых Приказом Ростехнадзором №116 от 25.03.2014г.</w:t>
            </w:r>
          </w:p>
          <w:p>
            <w:pPr>
              <w:pStyle w:val="Normal"/>
              <w:tabs>
                <w:tab w:val="left" w:pos="743" w:leader="none"/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7. Подлинный или надлежаще заверенный сертификат соответствия ГОСТ Р ИСО 9001-2011 «Системы менеджмента качества. Требования»;</w:t>
            </w:r>
          </w:p>
          <w:p>
            <w:pPr>
              <w:pStyle w:val="Normal"/>
              <w:tabs>
                <w:tab w:val="left" w:pos="743" w:leader="none"/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8. Подлинный или надлежаще заверенный сертификат и/или декларация соответствия,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 xml:space="preserve"> подтверждающий соответствие качества трубной продукции техническим нормам и требованиям, установленным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требованиям Технического регламента таможенного союза ТР ТС №0032/2013 «О безопасности оборудования, работающего под избыточным давлением»;</w:t>
            </w:r>
          </w:p>
          <w:p>
            <w:pPr>
              <w:pStyle w:val="Normal"/>
              <w:tabs>
                <w:tab w:val="left" w:pos="743" w:leader="none"/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bookmarkStart w:id="5" w:name="OLE_LINK10"/>
            <w:bookmarkStart w:id="6" w:name="OLE_LINK9"/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9. </w:t>
            </w:r>
            <w:bookmarkEnd w:id="5"/>
            <w:bookmarkEnd w:id="6"/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Экспертное заключение на соответствие разделу 6 «Требования к полимерным и полимеросодержащим строительным материалам и мебели» Главы 2 «Единых санитарно-эпидемиологических и гигиенических требований к товарам, подлежащим санитарно-эпидемиологическому надзору (контролю), утверждённых решением комиссии ТС от 28.05. 2010 г. №299.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6. ТРЕБОВАНИЯ К ТРАНСПОРТИРОВАНИЮ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left" w:pos="743" w:leader="none"/>
              </w:tabs>
              <w:ind w:left="34" w:firstLine="425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Транспортирование продукции в соответствии с ГОСТ 13015-2012 осуществляется автомобильным транспортом Заказчика согласно техническим условиям погрузки и размещения груза на данном виде транспорте с применением инвентарных прокладок прямоугольного или трапецеидального поперечного сечения из дерева или других материалов.</w:t>
            </w:r>
          </w:p>
          <w:p>
            <w:pPr>
              <w:pStyle w:val="Normal"/>
              <w:widowControl w:val="false"/>
              <w:tabs>
                <w:tab w:val="left" w:pos="851" w:leader="none"/>
              </w:tabs>
              <w:spacing w:lineRule="atLeast" w:line="100" w:before="28" w:after="0"/>
              <w:ind w:left="34" w:firstLine="425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2. Стоимость применённых Поставщиком инвентарных прокладок входит в стоимость продукции.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7. ТРЕБОВАНИЯ К ХРАНЕНИЮ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18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Хранение продукции на складе Поставщика должно осуществляться в соответствии с требованиями ГОСТ 25880-83 «Материалы и изделия строительные теплоизоляционные. Упаковка, маркировка, транспортирование и хранение».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8. ТРЕБОВАНИЯ К ОБЪЕМУ И/ИЛИ СРОКУ ПРЕДОСТАВЛЕНИЯ ГАРАНТИЙ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Гарантийный срок с даты поставки продукции должен быть не менее гарантированного производителем - не менее 60 месяцев. 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2. Продукция проходит входной контроль в течение 3 рабочих дней, после поступления приходного ордера на склад, при отклонении качества продукции товар возвращается Поставщику за его счёт. Замена товара должна быть произведена в течение 10 (десяти) дней.</w:t>
            </w:r>
          </w:p>
          <w:p>
            <w:pPr>
              <w:pStyle w:val="Normal"/>
              <w:tabs>
                <w:tab w:val="left" w:pos="284" w:leader="none"/>
                <w:tab w:val="center" w:pos="4677" w:leader="none"/>
                <w:tab w:val="right" w:pos="9355" w:leader="none"/>
              </w:tabs>
              <w:spacing w:lineRule="auto" w:line="240" w:before="0" w:after="0"/>
              <w:ind w:right="34" w:firstLine="459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3. При обнаружении в пределах гарантийного срока в поставленном товаре производственных дефектов Поставщик обязан в течение 15 дней со дня получения письменного уведомления Заказчика заменить товар своими силами и за свой счет. В случае замены товара гарантийный срок продлевается на срок замены.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РАЗДЕЛ 9. ЭКОЛОГИЧЕСКИЕ ТРЕБОВАНИЯ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ind w:left="0" w:firstLine="459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Теплоизоляция ППУ и ПЭ оболочка должны быть экологически чистыми, при нагревании до 150 °С не выделять токсины.</w:t>
            </w:r>
          </w:p>
          <w:p>
            <w:pPr>
              <w:pStyle w:val="ListParagraph"/>
              <w:numPr>
                <w:ilvl w:val="0"/>
                <w:numId w:val="5"/>
              </w:numPr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Качество материалов, применяемым для изготовления сборных железобетонных НО, должно соответствовать Единым санитарно-эпидемиологическими и гигиеническим требованиями к товарам (глава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i/>
                <w:color w:val="000000"/>
                <w:sz w:val="24"/>
                <w:szCs w:val="24"/>
              </w:rPr>
              <w:t>, раздел 6), подлежащим санитарно-эпидемиологическому надзору (контролю) и быть подтверждено  Заключением по результатам санитарно-эпидемиологической экспертизы.</w:t>
            </w:r>
          </w:p>
          <w:p>
            <w:pPr>
              <w:pStyle w:val="ListParagraph"/>
              <w:numPr>
                <w:ilvl w:val="0"/>
                <w:numId w:val="5"/>
              </w:numPr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Значение удельной эффективной активности естественных радионуклидов материалов (А</w:t>
            </w:r>
            <w:r>
              <w:rPr>
                <w:i/>
                <w:sz w:val="24"/>
                <w:szCs w:val="24"/>
                <w:vertAlign w:val="subscript"/>
              </w:rPr>
              <w:t>эфф</w:t>
            </w:r>
            <w:r>
              <w:rPr>
                <w:i/>
                <w:sz w:val="24"/>
                <w:szCs w:val="24"/>
              </w:rPr>
              <w:t>,Бк/кг), используемых для приготовления бетонов, должно соответствовать предельным значениям А</w:t>
            </w:r>
            <w:r>
              <w:rPr>
                <w:i/>
                <w:sz w:val="24"/>
                <w:szCs w:val="24"/>
                <w:vertAlign w:val="subscript"/>
              </w:rPr>
              <w:t>эфф</w:t>
            </w:r>
            <w:r>
              <w:rPr>
                <w:i/>
                <w:sz w:val="24"/>
                <w:szCs w:val="24"/>
              </w:rPr>
              <w:t>от 370 до 740 Бк/кг и быть подтверждено документально.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10. ТРЕБОВАНИЯ К КАЧЕСТВУ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Качество сборной железобетонной НО в ППУ-ПЭ, должно быть подтверждено паспортом и соответствовать 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техническим нормам и требованиям, установленным Законодательством РФ и регламентом Комиссии Таможенного союза: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1. ГОСТ 30732-2006 (прилагается сертификатами соответствия).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2. ГОСТ 10704-91, ГОСТ 10705-80 (прилагается сертификатами соответствия). 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Style w:val="Style21"/>
                <w:rFonts w:ascii="Times New Roman" w:hAnsi="Times New Roman" w:cs="Times New Roman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3. ГОСТ 13015-2012 (прилагается сертификатами соответствия).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Style w:val="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21"/>
                <w:rFonts w:cs="Times New Roman" w:ascii="Times New Roman" w:hAnsi="Times New Roman"/>
                <w:color w:val="333333"/>
                <w:sz w:val="24"/>
                <w:szCs w:val="24"/>
              </w:rPr>
              <w:t>4.</w:t>
            </w:r>
            <w:r>
              <w:rPr>
                <w:rStyle w:val="Style21"/>
                <w:rFonts w:cs="Times New Roman" w:ascii="Times New Roman" w:hAnsi="Times New Roman"/>
                <w:i w:val="false"/>
                <w:color w:val="33333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 утверждённые Приказом Ростехнадзором №116 от 25.03.2014г. (прилагается разрешение на применение оборудования на ОПО).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ind w:left="34" w:firstLine="425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 xml:space="preserve">5. ТР – ТС 032/2013 </w:t>
            </w:r>
            <w:r>
              <w:rPr/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прилагается сертификатами соответствия)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11. ТРЕБОВАНИЯ К КОЛИЧЕСТВУ, МЕСТУ И СРОКУ (ПЕРИОДИЧНОСТИ) ПОСТАВКИ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18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11.1 Требования к количеству поставки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318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  Требования к единицам измерения по исходному документу – штуки.</w:t>
            </w:r>
          </w:p>
          <w:p>
            <w:pPr>
              <w:pStyle w:val="Normal"/>
              <w:spacing w:lineRule="auto" w:line="240" w:before="0" w:after="0"/>
              <w:ind w:firstLine="318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  Требования к количеству по исходному документу – 3 (три) шт. в соответствии с Таблицей 1 Подраздела 4.1.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11.2 Требования к месту поставки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459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1. Доставка до места поставки осуществляется автотранспортом Заказчика со склада Поставщика,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расположенного на расстоянии не далее 150 км от города Снежинск.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2. Погрузочные работы осуществляет Поставщик, стоимость погрузочных работ входит в стоимость продукции.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3.  Разгрузочные работы производятся силами Заказчика.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Подраздел 11.3 Требования к сроку (периодичности) поставки</w:t>
            </w:r>
          </w:p>
        </w:tc>
      </w:tr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Поставка продукции </w:t>
            </w:r>
            <w:r>
              <w:rPr>
                <w:i/>
                <w:color w:val="000000"/>
                <w:sz w:val="24"/>
                <w:szCs w:val="24"/>
              </w:rPr>
              <w:t>с 01.05. по 31.05.2018 года.</w:t>
            </w:r>
          </w:p>
          <w:p>
            <w:pPr>
              <w:pStyle w:val="ListParagraph"/>
              <w:numPr>
                <w:ilvl w:val="0"/>
                <w:numId w:val="6"/>
              </w:numPr>
              <w:ind w:left="34" w:firstLine="425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Датой поставки считается дата получения Заказчиком продукции и подписания обеими сторонами накладной.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12. ПЕРЕЧЕНЬ ПРИНЯТЫХ СОКРАЩЕНИЙ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81"/>
      </w:tblGrid>
      <w:tr>
        <w:trPr>
          <w:trHeight w:val="399" w:hRule="atLeast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459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Перечень принятых сокращений приведён в таблице 5.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Таблица 5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2269"/>
        <w:gridCol w:w="6662"/>
      </w:tblGrid>
      <w:tr>
        <w:trPr>
          <w:trHeight w:val="399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>
        <w:trPr>
          <w:trHeight w:val="399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НО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неподвижные опоры</w:t>
            </w:r>
          </w:p>
        </w:tc>
      </w:tr>
      <w:tr>
        <w:trPr>
          <w:trHeight w:val="399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shd w:fill="FFFFFF" w:val="clear"/>
              </w:rPr>
              <w:t>ППУ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shd w:fill="FFFFFF" w:val="clear"/>
              </w:rPr>
              <w:t>пенополиуретан</w:t>
            </w:r>
          </w:p>
        </w:tc>
      </w:tr>
      <w:tr>
        <w:trPr>
          <w:trHeight w:val="399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/>
                <w:spacing w:val="2"/>
                <w:sz w:val="24"/>
                <w:szCs w:val="24"/>
                <w:shd w:fill="FFFFFF" w:val="clear"/>
              </w:rPr>
              <w:t>СОДК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/>
                <w:spacing w:val="2"/>
                <w:sz w:val="24"/>
                <w:szCs w:val="24"/>
                <w:shd w:fill="FFFFFF" w:val="clear"/>
              </w:rPr>
              <w:t>система оперативного дистанционного контроля</w:t>
            </w:r>
            <w:r>
              <w:rPr>
                <w:rFonts w:cs="Times New Roman" w:ascii="Times New Roman" w:hAnsi="Times New Roman"/>
                <w:i/>
                <w:spacing w:val="2"/>
                <w:sz w:val="24"/>
                <w:szCs w:val="24"/>
                <w:shd w:fill="FFFFFF" w:val="clear"/>
              </w:rPr>
              <w:t xml:space="preserve"> </w:t>
            </w:r>
          </w:p>
        </w:tc>
      </w:tr>
      <w:tr>
        <w:trPr>
          <w:trHeight w:val="399" w:hRule="atLeast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ФНП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Федеральные нормы и правила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13. ПЕРЕЧЕНЬ ПРИЛОЖЕНИЙ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9"/>
        <w:gridCol w:w="7229"/>
        <w:gridCol w:w="1843"/>
      </w:tblGrid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страницы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313.ТС-008.019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313.ТС-008.021 лист 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313.ТС-008.021 лист 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313.ТС-008.022 лист 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>
        <w:trPr>
          <w:trHeight w:val="399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313.ТС-008.022 лист 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247" w:right="680" w:header="709" w:top="1134" w:footer="0" w:bottom="851" w:gutter="0"/>
      <w:pgNumType w:fmt="decimal"/>
      <w:formProt w:val="false"/>
      <w:titlePg/>
      <w:textDirection w:val="lrTb"/>
      <w:docGrid w:type="default" w:linePitch="381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 CYR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30" w:hanging="360"/>
      </w:pPr>
      <w:rPr>
        <w:sz w:val="24"/>
        <w:i/>
        <w:b w:val="false"/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819" w:hanging="360"/>
      </w:pPr>
    </w:lvl>
    <w:lvl w:ilvl="2">
      <w:start w:val="1"/>
      <w:numFmt w:val="decimal"/>
      <w:lvlText w:val="%1.%2.%3."/>
      <w:lvlJc w:val="left"/>
      <w:pPr>
        <w:ind w:left="1468" w:hanging="720"/>
      </w:pPr>
    </w:lvl>
    <w:lvl w:ilvl="3">
      <w:start w:val="1"/>
      <w:numFmt w:val="decimal"/>
      <w:lvlText w:val="%1.%2.%3.%4."/>
      <w:lvlJc w:val="left"/>
      <w:pPr>
        <w:ind w:left="1757" w:hanging="720"/>
      </w:pPr>
    </w:lvl>
    <w:lvl w:ilvl="4">
      <w:start w:val="1"/>
      <w:numFmt w:val="decimal"/>
      <w:lvlText w:val="%1.%2.%3.%4.%5."/>
      <w:lvlJc w:val="left"/>
      <w:pPr>
        <w:ind w:left="2406" w:hanging="1080"/>
      </w:pPr>
    </w:lvl>
    <w:lvl w:ilvl="5">
      <w:start w:val="1"/>
      <w:numFmt w:val="decimal"/>
      <w:lvlText w:val="%1.%2.%3.%4.%5.%6."/>
      <w:lvlJc w:val="left"/>
      <w:pPr>
        <w:ind w:left="2695" w:hanging="1080"/>
      </w:pPr>
    </w:lvl>
    <w:lvl w:ilvl="6">
      <w:start w:val="1"/>
      <w:numFmt w:val="decimal"/>
      <w:lvlText w:val="%1.%2.%3.%4.%5.%6.%7."/>
      <w:lvlJc w:val="left"/>
      <w:pPr>
        <w:ind w:left="3344" w:hanging="1440"/>
      </w:pPr>
    </w:lvl>
    <w:lvl w:ilvl="7">
      <w:start w:val="1"/>
      <w:numFmt w:val="decimal"/>
      <w:lvlText w:val="%1.%2.%3.%4.%5.%6.%7.%8."/>
      <w:lvlJc w:val="left"/>
      <w:pPr>
        <w:ind w:left="3633" w:hanging="1440"/>
      </w:pPr>
    </w:lvl>
    <w:lvl w:ilvl="8">
      <w:start w:val="1"/>
      <w:numFmt w:val="decimal"/>
      <w:lvlText w:val="%1.%2.%3.%4.%5.%6.%7.%8.%9."/>
      <w:lvlJc w:val="left"/>
      <w:pPr>
        <w:ind w:left="4282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819" w:hanging="360"/>
      </w:pPr>
      <w:rPr>
        <w:sz w:val="24"/>
        <w:color w:val="00000A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819" w:hanging="360"/>
      </w:pPr>
      <w:rPr>
        <w:sz w:val="24"/>
        <w:rFonts w:eastAsia="Calibri"/>
        <w:color w:val="00000A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927" w:hanging="360"/>
      </w:pPr>
      <w:rPr>
        <w:sz w:val="24"/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4b5b3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"/>
      <w:color w:val="00000A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qFormat/>
    <w:rsid w:val="00d20d77"/>
    <w:pPr>
      <w:keepNext/>
      <w:spacing w:lineRule="auto" w:line="240" w:before="0" w:after="0"/>
      <w:ind w:right="-113" w:hanging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2">
    <w:name w:val="Heading 2"/>
    <w:basedOn w:val="Normal"/>
    <w:link w:val="20"/>
    <w:uiPriority w:val="99"/>
    <w:qFormat/>
    <w:rsid w:val="00d20d77"/>
    <w:pPr>
      <w:spacing w:lineRule="auto" w:line="240" w:before="240" w:after="60"/>
      <w:ind w:left="1420" w:hanging="720"/>
      <w:jc w:val="both"/>
      <w:outlineLvl w:val="1"/>
    </w:pPr>
    <w:rPr>
      <w:rFonts w:ascii="Times New Roman" w:hAnsi="Times New Roman" w:eastAsia="Calibri" w:cs="Times New Roman"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20d77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d20d77"/>
    <w:rPr>
      <w:rFonts w:ascii="Times New Roman" w:hAnsi="Times New Roman" w:eastAsia="Calibri" w:cs="Times New Roman"/>
      <w:caps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qFormat/>
    <w:rsid w:val="00d20d77"/>
    <w:rPr>
      <w:rFonts w:ascii="Tahoma" w:hAnsi="Tahoma" w:eastAsia="Times New Roman" w:cs="Times New Roman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d20d7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d20d7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d20d7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0"/>
    <w:qFormat/>
    <w:rsid w:val="00d20d7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b"/>
    <w:qFormat/>
    <w:rsid w:val="00d20d7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rsid w:val="00d20d77"/>
    <w:rPr>
      <w:color w:val="0000FF"/>
      <w:u w:val="single"/>
    </w:rPr>
  </w:style>
  <w:style w:type="character" w:styleId="Annotationreference">
    <w:name w:val="annotation reference"/>
    <w:unhideWhenUsed/>
    <w:qFormat/>
    <w:rsid w:val="00d20d77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"/>
    <w:qFormat/>
    <w:rsid w:val="00d20d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1"/>
    <w:qFormat/>
    <w:rsid w:val="00d20d7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Pagenumber">
    <w:name w:val="page number"/>
    <w:qFormat/>
    <w:rsid w:val="00d20d77"/>
    <w:rPr>
      <w:rFonts w:cs="Times New Roman"/>
    </w:rPr>
  </w:style>
  <w:style w:type="character" w:styleId="FontStyle23" w:customStyle="1">
    <w:name w:val="Font Style23"/>
    <w:uiPriority w:val="99"/>
    <w:qFormat/>
    <w:rsid w:val="00d20d77"/>
    <w:rPr>
      <w:rFonts w:ascii="Times New Roman" w:hAnsi="Times New Roman" w:cs="Times New Roman"/>
      <w:sz w:val="22"/>
      <w:szCs w:val="22"/>
    </w:rPr>
  </w:style>
  <w:style w:type="character" w:styleId="Style19" w:customStyle="1">
    <w:name w:val="Схема документа Знак"/>
    <w:basedOn w:val="DefaultParagraphFont"/>
    <w:link w:val="af6"/>
    <w:uiPriority w:val="99"/>
    <w:semiHidden/>
    <w:qFormat/>
    <w:rsid w:val="00d20d77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d20d77"/>
    <w:rPr/>
  </w:style>
  <w:style w:type="character" w:styleId="Strong">
    <w:name w:val="Strong"/>
    <w:uiPriority w:val="22"/>
    <w:qFormat/>
    <w:rsid w:val="00d20d77"/>
    <w:rPr>
      <w:b/>
      <w:bCs/>
    </w:rPr>
  </w:style>
  <w:style w:type="character" w:styleId="Style20" w:customStyle="1">
    <w:name w:val="Текст сноски Знак"/>
    <w:basedOn w:val="DefaultParagraphFont"/>
    <w:link w:val="afa"/>
    <w:uiPriority w:val="99"/>
    <w:semiHidden/>
    <w:qFormat/>
    <w:rsid w:val="00d20d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qFormat/>
    <w:rsid w:val="00d20d77"/>
    <w:rPr>
      <w:vertAlign w:val="superscript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d20d7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1">
    <w:name w:val="Выделение"/>
    <w:qFormat/>
    <w:rsid w:val="00d20d77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color w:val="00000A"/>
    </w:rPr>
  </w:style>
  <w:style w:type="character" w:styleId="ListLabel44">
    <w:name w:val="ListLabel 44"/>
    <w:qFormat/>
    <w:rPr>
      <w:rFonts w:eastAsia="Calibri" w:cs=""/>
    </w:rPr>
  </w:style>
  <w:style w:type="character" w:styleId="ListLabel45">
    <w:name w:val="ListLabel 45"/>
    <w:qFormat/>
    <w:rPr>
      <w:rFonts w:eastAsia="Calibri" w:cs=""/>
    </w:rPr>
  </w:style>
  <w:style w:type="character" w:styleId="ListLabel46">
    <w:name w:val="ListLabel 46"/>
    <w:qFormat/>
    <w:rPr>
      <w:rFonts w:eastAsia="Calibri" w:cs=""/>
    </w:rPr>
  </w:style>
  <w:style w:type="character" w:styleId="ListLabel47">
    <w:name w:val="ListLabel 47"/>
    <w:qFormat/>
    <w:rPr>
      <w:rFonts w:eastAsia="Calibri" w:cs=""/>
    </w:rPr>
  </w:style>
  <w:style w:type="character" w:styleId="ListLabel48">
    <w:name w:val="ListLabel 48"/>
    <w:qFormat/>
    <w:rPr>
      <w:rFonts w:eastAsia="Calibri" w:cs=""/>
    </w:rPr>
  </w:style>
  <w:style w:type="character" w:styleId="ListLabel49">
    <w:name w:val="ListLabel 49"/>
    <w:qFormat/>
    <w:rPr>
      <w:rFonts w:eastAsia="Calibri" w:cs=""/>
    </w:rPr>
  </w:style>
  <w:style w:type="character" w:styleId="ListLabel50">
    <w:name w:val="ListLabel 50"/>
    <w:qFormat/>
    <w:rPr>
      <w:rFonts w:eastAsia="Calibri" w:cs=""/>
    </w:rPr>
  </w:style>
  <w:style w:type="character" w:styleId="ListLabel51">
    <w:name w:val="ListLabel 51"/>
    <w:qFormat/>
    <w:rPr>
      <w:rFonts w:eastAsia="Calibri" w:cs=""/>
    </w:rPr>
  </w:style>
  <w:style w:type="character" w:styleId="ListLabel52">
    <w:name w:val="ListLabel 52"/>
    <w:qFormat/>
    <w:rPr>
      <w:rFonts w:eastAsia="Times New Roman" w:cs="Times New Roman"/>
      <w:b w:val="false"/>
      <w:i/>
      <w:sz w:val="24"/>
    </w:rPr>
  </w:style>
  <w:style w:type="character" w:styleId="ListLabel53">
    <w:name w:val="ListLabel 53"/>
    <w:qFormat/>
    <w:rPr>
      <w:b w:val="false"/>
    </w:rPr>
  </w:style>
  <w:style w:type="character" w:styleId="ListLabel54">
    <w:name w:val="ListLabel 54"/>
    <w:qFormat/>
    <w:rPr>
      <w:color w:val="00000A"/>
      <w:sz w:val="24"/>
    </w:rPr>
  </w:style>
  <w:style w:type="character" w:styleId="ListLabel55">
    <w:name w:val="ListLabel 55"/>
    <w:qFormat/>
    <w:rPr>
      <w:rFonts w:eastAsia="Calibri"/>
      <w:color w:val="00000A"/>
      <w:sz w:val="24"/>
    </w:rPr>
  </w:style>
  <w:style w:type="character" w:styleId="ListLabel56">
    <w:name w:val="ListLabel 56"/>
    <w:qFormat/>
    <w:rPr>
      <w:rFonts w:eastAsia="Times New Roman"/>
      <w:color w:val="000000"/>
      <w:sz w:val="24"/>
    </w:rPr>
  </w:style>
  <w:style w:type="character" w:styleId="ListLabel57">
    <w:name w:val="ListLabel 57"/>
    <w:qFormat/>
    <w:rPr>
      <w:color w:val="00000A"/>
    </w:rPr>
  </w:style>
  <w:style w:type="paragraph" w:styleId="Style22">
    <w:name w:val="Заголовок"/>
    <w:basedOn w:val="Normal"/>
    <w:next w:val="Style2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3">
    <w:name w:val="Body Text"/>
    <w:basedOn w:val="Normal"/>
    <w:link w:val="ac"/>
    <w:unhideWhenUsed/>
    <w:rsid w:val="00d20d7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20d7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5"/>
    <w:unhideWhenUsed/>
    <w:qFormat/>
    <w:rsid w:val="00d20d77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Style27">
    <w:name w:val="Header"/>
    <w:basedOn w:val="Normal"/>
    <w:link w:val="a7"/>
    <w:uiPriority w:val="99"/>
    <w:unhideWhenUsed/>
    <w:rsid w:val="00d20d77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28">
    <w:name w:val="Footer"/>
    <w:basedOn w:val="Normal"/>
    <w:link w:val="a9"/>
    <w:uiPriority w:val="99"/>
    <w:unhideWhenUsed/>
    <w:rsid w:val="00d20d77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d20d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AHeader" w:customStyle="1">
    <w:name w:val="a_Header"/>
    <w:basedOn w:val="Normal"/>
    <w:qFormat/>
    <w:rsid w:val="00d20d77"/>
    <w:pPr>
      <w:tabs>
        <w:tab w:val="left" w:pos="1985" w:leader="none"/>
      </w:tabs>
      <w:overflowPunct w:val="true"/>
      <w:spacing w:lineRule="auto" w:line="240" w:before="0" w:after="60"/>
      <w:jc w:val="center"/>
      <w:textAlignment w:val="baseline"/>
    </w:pPr>
    <w:rPr>
      <w:rFonts w:ascii="Courier New CYR" w:hAnsi="Courier New CYR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qFormat/>
    <w:rsid w:val="00d20d77"/>
    <w:pPr>
      <w:tabs>
        <w:tab w:val="left" w:pos="1122" w:leader="none"/>
      </w:tabs>
      <w:spacing w:lineRule="auto" w:line="240" w:before="0" w:after="0"/>
      <w:ind w:firstLine="74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1"/>
    <w:qFormat/>
    <w:rsid w:val="00d20d7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d20d7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sz w:val="22"/>
      <w:szCs w:val="22"/>
      <w:lang w:eastAsia="ru-RU" w:val="ru-RU" w:bidi="ar-SA"/>
    </w:rPr>
  </w:style>
  <w:style w:type="paragraph" w:styleId="12" w:customStyle="1">
    <w:name w:val="Абзац списка1"/>
    <w:basedOn w:val="Normal"/>
    <w:qFormat/>
    <w:rsid w:val="00d20d77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81" w:customStyle="1">
    <w:name w:val="Style8"/>
    <w:basedOn w:val="Normal"/>
    <w:qFormat/>
    <w:rsid w:val="00d20d77"/>
    <w:pPr>
      <w:widowControl w:val="false"/>
      <w:spacing w:lineRule="exact" w:line="326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0"/>
    <w:unhideWhenUsed/>
    <w:qFormat/>
    <w:rsid w:val="00d20d7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2"/>
    <w:unhideWhenUsed/>
    <w:qFormat/>
    <w:rsid w:val="00d20d77"/>
    <w:pPr/>
    <w:rPr>
      <w:b/>
      <w:bCs/>
    </w:rPr>
  </w:style>
  <w:style w:type="paragraph" w:styleId="Revision">
    <w:name w:val="Revision"/>
    <w:uiPriority w:val="99"/>
    <w:semiHidden/>
    <w:qFormat/>
    <w:rsid w:val="00d20d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paragraph" w:styleId="Default" w:customStyle="1">
    <w:name w:val="Default"/>
    <w:qFormat/>
    <w:rsid w:val="00d20d7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 w:val="ru-RU" w:bidi="ar-SA"/>
    </w:rPr>
  </w:style>
  <w:style w:type="paragraph" w:styleId="13">
    <w:name w:val="TOC 1"/>
    <w:basedOn w:val="Normal"/>
    <w:autoRedefine/>
    <w:uiPriority w:val="99"/>
    <w:rsid w:val="00d20d77"/>
    <w:pPr>
      <w:spacing w:lineRule="auto" w:line="240" w:before="360" w:after="0"/>
    </w:pPr>
    <w:rPr>
      <w:rFonts w:ascii="Arial" w:hAnsi="Arial" w:eastAsia="Times New Roman" w:cs="Arial"/>
      <w:b/>
      <w:bCs/>
      <w:caps/>
      <w:sz w:val="24"/>
      <w:szCs w:val="24"/>
    </w:rPr>
  </w:style>
  <w:style w:type="paragraph" w:styleId="4" w:customStyle="1">
    <w:name w:val="Пункт_4"/>
    <w:basedOn w:val="Normal"/>
    <w:uiPriority w:val="99"/>
    <w:qFormat/>
    <w:rsid w:val="00d20d7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5" w:customStyle="1">
    <w:name w:val="Пункт_5"/>
    <w:basedOn w:val="Normal"/>
    <w:uiPriority w:val="99"/>
    <w:qFormat/>
    <w:rsid w:val="00d20d7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1" w:customStyle="1">
    <w:name w:val="Подзаголовок_3"/>
    <w:basedOn w:val="Normal"/>
    <w:uiPriority w:val="99"/>
    <w:qFormat/>
    <w:rsid w:val="00d20d77"/>
    <w:pPr>
      <w:keepNext/>
      <w:spacing w:lineRule="auto" w:line="240" w:before="240" w:after="120"/>
      <w:jc w:val="both"/>
      <w:outlineLvl w:val="2"/>
    </w:pPr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DocumentMap">
    <w:name w:val="Document Map"/>
    <w:basedOn w:val="Normal"/>
    <w:link w:val="af7"/>
    <w:uiPriority w:val="99"/>
    <w:semiHidden/>
    <w:unhideWhenUsed/>
    <w:qFormat/>
    <w:rsid w:val="00d20d77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d20d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fb"/>
    <w:uiPriority w:val="99"/>
    <w:semiHidden/>
    <w:qFormat/>
    <w:rsid w:val="00d20d7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rmal" w:customStyle="1">
    <w:name w:val="ConsPlusNormal"/>
    <w:qFormat/>
    <w:rsid w:val="00d20d77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sz w:val="20"/>
      <w:szCs w:val="20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d20d7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d20d7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Style29" w:customStyle="1">
    <w:name w:val="Содержимое таблицы"/>
    <w:basedOn w:val="Normal"/>
    <w:qFormat/>
    <w:rsid w:val="001b4b0f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Western" w:customStyle="1">
    <w:name w:val="western"/>
    <w:basedOn w:val="Normal"/>
    <w:qFormat/>
    <w:rsid w:val="00f33672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d20d77"/>
  </w:style>
  <w:style w:type="numbering" w:styleId="111" w:customStyle="1">
    <w:name w:val="Нет списка11"/>
    <w:uiPriority w:val="99"/>
    <w:semiHidden/>
    <w:unhideWhenUsed/>
    <w:qFormat/>
    <w:rsid w:val="00d20d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20d7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rsid w:val="00d20d7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978B-AD7F-4C77-A2BC-41CB7F40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Application>LibreOffice/5.1.6.2$Linux_X86_64 LibreOffice_project/10m0$Build-2</Application>
  <Pages>21</Pages>
  <Words>2342</Words>
  <Characters>15699</Characters>
  <CharactersWithSpaces>17763</CharactersWithSpaces>
  <Paragraphs>320</Paragraphs>
  <Company>Rosatom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2018-03-06T16:28:00Z</dcterms:created>
  <dc:creator>Андреева Анастасия Александровна</dc:creator>
  <dc:description/>
  <dc:language>ru-RU</dc:language>
  <cp:lastModifiedBy/>
  <cp:lastPrinted>2018-03-21T09:04:00Z</cp:lastPrinted>
  <dcterms:modified xsi:type="dcterms:W3CDTF">2018-03-21T17:01:44Z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Rosatom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