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45"/>
        <w:jc w:val="right"/>
        <w:textAlignment w:val="baseline"/>
        <w:outlineLvl w:val="0"/>
        <w:rPr>
          <w:rFonts w:ascii="Trebuchet MS" w:hAnsi="Trebuchet MS" w:eastAsia="Times New Roman" w:cs="Times New Roman"/>
          <w:b/>
          <w:b/>
          <w:bCs/>
          <w:color w:val="505050"/>
          <w:sz w:val="20"/>
          <w:szCs w:val="20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505050"/>
          <w:sz w:val="20"/>
          <w:szCs w:val="20"/>
          <w:lang w:eastAsia="ru-RU"/>
        </w:rPr>
        <w:t>Приложение к договору поставки №10/18 от 01.03.2018.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345"/>
        <w:textAlignment w:val="baseline"/>
        <w:outlineLvl w:val="0"/>
        <w:rPr>
          <w:rFonts w:ascii="Trebuchet MS" w:hAnsi="Trebuchet MS" w:eastAsia="Times New Roman" w:cs="Times New Roman"/>
          <w:b/>
          <w:b/>
          <w:bCs/>
          <w:color w:val="505050"/>
          <w:sz w:val="36"/>
          <w:szCs w:val="36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505050"/>
          <w:sz w:val="36"/>
          <w:szCs w:val="36"/>
          <w:lang w:eastAsia="ru-RU"/>
        </w:rPr>
        <w:t>Технические характеристики гранитного щебня.</w:t>
      </w:r>
    </w:p>
    <w:tbl>
      <w:tblPr>
        <w:tblW w:w="9386" w:type="dxa"/>
        <w:jc w:val="left"/>
        <w:tblInd w:w="9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434"/>
        <w:gridCol w:w="4274"/>
        <w:gridCol w:w="4678"/>
      </w:tblGrid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41404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414042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414042"/>
                <w:sz w:val="21"/>
                <w:szCs w:val="21"/>
                <w:lang w:eastAsia="ru-RU"/>
              </w:rPr>
              <w:t>Фактические показатели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Радиоактивность - удельная активность радионуклидов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30-98 Бк/кг - 1 класс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Марка щебня по прочности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М 1400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- потеря массы при испытании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7,4%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Морозостойкость щебня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F 400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Истинная плотность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3,0 г/см3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Средняя плотность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2,98 г/см3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Насыпная плотность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1355-1530 кг/м3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Водопоглощение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0,30%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Пористость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0,80%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Содержание зерен пластинчатой (лещадной) и угловатой формы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3,8 - 5,2%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Содержание глины в комках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0%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Марка по истираемости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И1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 </w:t>
            </w: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- потеря массы при испытании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9,4 %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Содержание зерен слабых пород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0,15%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Содержание пылевидных и глинистых частиц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0,16%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Содержание сульфатов и сульфидов в пересчете на SO3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0,2%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1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Предел прочности при сжатии в сухом состоянии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сред. 285 МПа</w:t>
            </w:r>
          </w:p>
        </w:tc>
      </w:tr>
      <w:tr>
        <w:trPr/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Предел прочности при сжатии в водонасыщенном состоянии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41404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inherit" w:hAnsi="inherit"/>
                <w:color w:val="414042"/>
                <w:sz w:val="21"/>
                <w:szCs w:val="21"/>
                <w:lang w:eastAsia="ru-RU"/>
              </w:rPr>
              <w:t>сред. 256 МПа</w:t>
            </w:r>
          </w:p>
        </w:tc>
      </w:tr>
    </w:tbl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spacing w:before="0" w:after="200"/>
        <w:contextualSpacing/>
        <w:jc w:val="both"/>
        <w:rPr/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cols w:num="2" w:space="708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inheri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461c5"/>
    <w:pPr>
      <w:spacing w:before="0" w:after="20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00f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C7A4-EC6B-4797-9191-C8925D3A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LibreOffice/5.1.6.2$Linux_X86_64 LibreOffice_project/10m0$Build-2</Application>
  <Pages>1</Pages>
  <Words>142</Words>
  <Characters>778</Characters>
  <CharactersWithSpaces>863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2018-03-29T07:42:00Z</dcterms:created>
  <dc:creator>User</dc:creator>
  <dc:description/>
  <dc:language>ru-RU</dc:language>
  <cp:lastModifiedBy/>
  <dcterms:modified xsi:type="dcterms:W3CDTF">2018-03-30T17:10:22Z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