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media/image2.wmf" ContentType="image/x-wmf"/>
  <Override PartName="/word/media/image3.png" ContentType="image/png"/>
  <Override PartName="/word/media/image5.wmf" ContentType="image/x-wmf"/>
  <Override PartName="/word/media/image4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 xml:space="preserve">                                                                                  </w:t>
      </w:r>
    </w:p>
    <w:p>
      <w:pPr>
        <w:pStyle w:val="Normal"/>
        <w:rPr>
          <w:rFonts w:ascii="Times" w:hAnsi="Times"/>
          <w:lang w:val="ru-RU"/>
        </w:rPr>
      </w:pPr>
      <w:r>
        <w:rPr>
          <w:rFonts w:ascii="Times" w:hAnsi="Times"/>
          <w:lang w:val="ru-RU"/>
        </w:rPr>
      </w:r>
    </w:p>
    <w:p>
      <w:pPr>
        <w:pStyle w:val="Normal"/>
        <w:jc w:val="center"/>
        <w:rPr>
          <w:rFonts w:ascii="Times New Roman" w:hAnsi="Times New Roman"/>
          <w:b/>
          <w:b/>
          <w:color w:val="FF0000"/>
          <w:sz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color w:val="FF0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ТЕХНИЧЕСК</w:t>
      </w:r>
      <w:r>
        <w:rPr>
          <w:rFonts w:ascii="Times New Roman" w:hAnsi="Times New Roman"/>
          <w:b/>
          <w:color w:val="FF0000"/>
          <w:sz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ОЕ</w:t>
      </w:r>
      <w:r>
        <w:rPr>
          <w:rFonts w:ascii="Times New Roman" w:hAnsi="Times New Roman"/>
          <w:b/>
          <w:color w:val="FF0000"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hAnsi="Times New Roman"/>
          <w:b/>
          <w:color w:val="FF0000"/>
          <w:sz w:val="44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ЗАДАНИЕ</w:t>
      </w:r>
    </w:p>
    <w:p>
      <w:pPr>
        <w:pStyle w:val="Normal"/>
        <w:rPr>
          <w:rFonts w:ascii="Times" w:hAnsi="Times"/>
          <w:b/>
          <w:b/>
          <w:sz w:val="36"/>
        </w:rPr>
      </w:pPr>
      <w:r>
        <w:rPr>
          <w:rFonts w:ascii="Times" w:hAnsi="Times"/>
          <w:b/>
          <w:sz w:val="36"/>
        </w:rPr>
      </w:r>
    </w:p>
    <w:tbl>
      <w:tblPr>
        <w:tblW w:w="10628" w:type="dxa"/>
        <w:jc w:val="left"/>
        <w:tblInd w:w="0" w:type="dxa"/>
        <w:tblBorders>
          <w:top w:val="single" w:sz="18" w:space="0" w:color="00000A"/>
          <w:left w:val="single" w:sz="18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69" w:type="dxa"/>
          <w:bottom w:w="0" w:type="dxa"/>
          <w:right w:w="70" w:type="dxa"/>
        </w:tblCellMar>
        <w:tblLook w:val="0000" w:noVBand="0" w:noHBand="0" w:lastColumn="0" w:firstColumn="0" w:lastRow="0" w:firstRow="0"/>
      </w:tblPr>
      <w:tblGrid>
        <w:gridCol w:w="3188"/>
        <w:gridCol w:w="7439"/>
      </w:tblGrid>
      <w:tr>
        <w:trPr/>
        <w:tc>
          <w:tcPr>
            <w:tcW w:w="3188" w:type="dxa"/>
            <w:tcBorders>
              <w:top w:val="single" w:sz="18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Участок  экспертизы.</w:t>
            </w:r>
          </w:p>
        </w:tc>
        <w:tc>
          <w:tcPr>
            <w:tcW w:w="7439" w:type="dxa"/>
            <w:tcBorders>
              <w:top w:val="single" w:sz="18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  <w:insideH w:val="single" w:sz="6" w:space="0" w:color="00000A"/>
              <w:insideV w:val="single" w:sz="18" w:space="0" w:color="00000A"/>
            </w:tcBorders>
            <w:shd w:fill="auto" w:val="clear"/>
            <w:tcMar>
              <w:left w:w="84" w:type="dxa"/>
            </w:tcMar>
          </w:tcPr>
          <w:p>
            <w:pPr>
              <w:pStyle w:val="Normal"/>
              <w:spacing w:before="120" w:after="0"/>
              <w:ind w:left="284" w:hanging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Склад камней.</w:t>
            </w:r>
          </w:p>
        </w:tc>
      </w:tr>
      <w:tr>
        <w:trPr/>
        <w:tc>
          <w:tcPr>
            <w:tcW w:w="3188" w:type="dxa"/>
            <w:tcBorders>
              <w:top w:val="single" w:sz="6" w:space="0" w:color="00000A"/>
              <w:left w:val="single" w:sz="18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Cost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en-US"/>
              </w:rPr>
              <w:t>center</w:t>
            </w:r>
            <w:r>
              <w:rPr>
                <w:rFonts w:ascii="Times New Roman" w:hAnsi="Times New Roman"/>
                <w:szCs w:val="24"/>
                <w:lang w:val="ru-RU"/>
              </w:rPr>
              <w:t>, № инвест проекта</w:t>
            </w:r>
          </w:p>
        </w:tc>
        <w:tc>
          <w:tcPr>
            <w:tcW w:w="7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8" w:space="0" w:color="00000A"/>
              <w:insideH w:val="single" w:sz="6" w:space="0" w:color="00000A"/>
              <w:insideV w:val="single" w:sz="18" w:space="0" w:color="00000A"/>
            </w:tcBorders>
            <w:shd w:fill="auto" w:val="clear"/>
            <w:tcMar>
              <w:left w:w="84" w:type="dxa"/>
            </w:tcMar>
          </w:tcPr>
          <w:p>
            <w:pPr>
              <w:pStyle w:val="Normal"/>
              <w:spacing w:before="120" w:after="0"/>
              <w:ind w:left="284" w:hanging="0"/>
              <w:rPr>
                <w:rFonts w:ascii="Times New Roman" w:hAnsi="Times New Roman"/>
                <w:highlight w:val="lightGray"/>
                <w:lang w:val="en-US"/>
              </w:rPr>
            </w:pPr>
            <w:r>
              <w:rPr>
                <w:rFonts w:ascii="Times New Roman" w:hAnsi="Times New Roman"/>
                <w:highlight w:val="lightGray"/>
                <w:lang w:val="en-US"/>
              </w:rPr>
            </w:r>
          </w:p>
        </w:tc>
      </w:tr>
      <w:tr>
        <w:trPr>
          <w:trHeight w:val="535" w:hRule="atLeast"/>
        </w:trPr>
        <w:tc>
          <w:tcPr>
            <w:tcW w:w="3188" w:type="dxa"/>
            <w:tcBorders>
              <w:top w:val="single" w:sz="18" w:space="0" w:color="00000A"/>
              <w:left w:val="single" w:sz="18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spacing w:before="120" w:after="120"/>
              <w:jc w:val="center"/>
              <w:rPr/>
            </w:pPr>
            <w:r>
              <w:rPr>
                <w:rFonts w:ascii="Times New Roman" w:hAnsi="Times New Roman"/>
                <w:b/>
                <w:color w:val="000080"/>
                <w:szCs w:val="24"/>
                <w:lang w:val="ru-RU"/>
              </w:rPr>
              <w:t>Инициатора и руководитель проекта</w:t>
            </w:r>
          </w:p>
        </w:tc>
        <w:tc>
          <w:tcPr>
            <w:tcW w:w="7439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  <w:insideH w:val="single" w:sz="4" w:space="0" w:color="00000A"/>
              <w:insideV w:val="single" w:sz="18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spacing w:before="120" w:after="0"/>
              <w:ind w:left="284" w:hanging="0"/>
              <w:rPr/>
            </w:pPr>
            <w:r>
              <w:rPr>
                <w:rFonts w:ascii="Times New Roman" w:hAnsi="Times New Roman"/>
                <w:lang w:val="ru-RU"/>
              </w:rPr>
              <w:t>Красюков Владислав Вячеславович</w:t>
            </w:r>
          </w:p>
        </w:tc>
      </w:tr>
      <w:tr>
        <w:trPr/>
        <w:tc>
          <w:tcPr>
            <w:tcW w:w="3188" w:type="dxa"/>
            <w:tcBorders>
              <w:top w:val="dotted" w:sz="4" w:space="0" w:color="00000A"/>
              <w:left w:val="single" w:sz="18" w:space="0" w:color="00000A"/>
              <w:bottom w:val="single" w:sz="18" w:space="0" w:color="00000A"/>
              <w:right w:val="single" w:sz="6" w:space="0" w:color="00000A"/>
              <w:insideH w:val="single" w:sz="18" w:space="0" w:color="00000A"/>
              <w:insideV w:val="single" w:sz="6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/>
            </w:r>
          </w:p>
        </w:tc>
        <w:tc>
          <w:tcPr>
            <w:tcW w:w="7439" w:type="dxa"/>
            <w:tcBorders>
              <w:top w:val="single" w:sz="4" w:space="0" w:color="00000A"/>
              <w:bottom w:val="single" w:sz="18" w:space="0" w:color="00000A"/>
              <w:right w:val="single" w:sz="18" w:space="0" w:color="00000A"/>
              <w:insideH w:val="single" w:sz="18" w:space="0" w:color="00000A"/>
              <w:insideV w:val="single" w:sz="18" w:space="0" w:color="00000A"/>
            </w:tcBorders>
            <w:shd w:fill="auto" w:val="clear"/>
          </w:tcPr>
          <w:p>
            <w:pPr>
              <w:pStyle w:val="Normal"/>
              <w:rPr>
                <w:rFonts w:ascii="Times New Roman" w:hAnsi="Times New Roman"/>
                <w:sz w:val="28"/>
                <w:lang w:val="ru-RU"/>
              </w:rPr>
            </w:pPr>
            <w:r>
              <w:rPr/>
            </w:r>
          </w:p>
        </w:tc>
      </w:tr>
      <w:tr>
        <w:trPr/>
        <w:tc>
          <w:tcPr>
            <w:tcW w:w="3188" w:type="dxa"/>
            <w:tcBorders>
              <w:top w:val="single" w:sz="18" w:space="0" w:color="00000A"/>
              <w:left w:val="single" w:sz="18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Times New Roman" w:hAnsi="Times New Roman"/>
                <w:b/>
                <w:b/>
                <w:color w:val="00008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80"/>
                <w:szCs w:val="24"/>
                <w:lang w:val="ru-RU"/>
              </w:rPr>
              <w:t>Ответственный от закупок</w:t>
            </w:r>
          </w:p>
        </w:tc>
        <w:tc>
          <w:tcPr>
            <w:tcW w:w="7439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  <w:insideH w:val="single" w:sz="4" w:space="0" w:color="00000A"/>
              <w:insideV w:val="single" w:sz="18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spacing w:before="120" w:after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</w:r>
          </w:p>
        </w:tc>
      </w:tr>
      <w:tr>
        <w:trPr/>
        <w:tc>
          <w:tcPr>
            <w:tcW w:w="3188" w:type="dxa"/>
            <w:tcBorders>
              <w:top w:val="dotted" w:sz="4" w:space="0" w:color="00000A"/>
              <w:left w:val="single" w:sz="18" w:space="0" w:color="00000A"/>
              <w:bottom w:val="single" w:sz="24" w:space="0" w:color="00000A"/>
              <w:right w:val="single" w:sz="4" w:space="0" w:color="00000A"/>
              <w:insideH w:val="single" w:sz="24" w:space="0" w:color="00000A"/>
              <w:insideV w:val="single" w:sz="4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Тел</w:t>
            </w:r>
          </w:p>
        </w:tc>
        <w:tc>
          <w:tcPr>
            <w:tcW w:w="7439" w:type="dxa"/>
            <w:tcBorders>
              <w:top w:val="single" w:sz="4" w:space="0" w:color="00000A"/>
              <w:left w:val="single" w:sz="4" w:space="0" w:color="00000A"/>
              <w:bottom w:val="single" w:sz="24" w:space="0" w:color="00000A"/>
              <w:right w:val="single" w:sz="18" w:space="0" w:color="00000A"/>
              <w:insideH w:val="single" w:sz="24" w:space="0" w:color="00000A"/>
              <w:insideV w:val="single" w:sz="18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>
        <w:trPr>
          <w:trHeight w:val="538" w:hRule="atLeast"/>
        </w:trPr>
        <w:tc>
          <w:tcPr>
            <w:tcW w:w="3188" w:type="dxa"/>
            <w:vMerge w:val="restart"/>
            <w:tcBorders>
              <w:top w:val="dotted" w:sz="4" w:space="0" w:color="00000A"/>
              <w:left w:val="single" w:sz="18" w:space="0" w:color="00000A"/>
              <w:bottom w:val="single" w:sz="6" w:space="0" w:color="00000A"/>
              <w:right w:val="single" w:sz="4" w:space="0" w:color="00000A"/>
              <w:insideH w:val="single" w:sz="6" w:space="0" w:color="00000A"/>
              <w:insideV w:val="single" w:sz="4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jc w:val="center"/>
              <w:rPr/>
            </w:pPr>
            <w:r>
              <w:rPr>
                <w:rFonts w:ascii="Times New Roman" w:hAnsi="Times New Roman"/>
                <w:b/>
                <w:color w:val="000080"/>
                <w:szCs w:val="24"/>
                <w:lang w:val="ru-RU"/>
              </w:rPr>
              <w:t xml:space="preserve">Представитель заказчика по вопросам проектной и исполнительной документации </w:t>
            </w:r>
          </w:p>
        </w:tc>
        <w:tc>
          <w:tcPr>
            <w:tcW w:w="74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  <w:insideH w:val="single" w:sz="4" w:space="0" w:color="00000A"/>
              <w:insideV w:val="single" w:sz="18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lang w:val="ru-RU"/>
              </w:rPr>
              <w:t xml:space="preserve">    </w:t>
            </w:r>
            <w:r>
              <w:rPr>
                <w:rFonts w:ascii="Times New Roman" w:hAnsi="Times New Roman"/>
                <w:lang w:val="ru-RU"/>
              </w:rPr>
              <w:t>Зубарев Константин Владимирович</w:t>
            </w:r>
          </w:p>
        </w:tc>
      </w:tr>
      <w:tr>
        <w:trPr>
          <w:trHeight w:val="562" w:hRule="atLeast"/>
        </w:trPr>
        <w:tc>
          <w:tcPr>
            <w:tcW w:w="3188" w:type="dxa"/>
            <w:vMerge w:val="continue"/>
            <w:tcBorders>
              <w:top w:val="single" w:sz="6" w:space="0" w:color="00000A"/>
              <w:left w:val="single" w:sz="18" w:space="0" w:color="00000A"/>
              <w:bottom w:val="single" w:sz="24" w:space="0" w:color="00000A"/>
              <w:right w:val="single" w:sz="4" w:space="0" w:color="00000A"/>
              <w:insideH w:val="single" w:sz="24" w:space="0" w:color="00000A"/>
              <w:insideV w:val="single" w:sz="4" w:space="0" w:color="00000A"/>
            </w:tcBorders>
            <w:shd w:fill="auto" w:val="clear"/>
            <w:tcMar>
              <w:left w:w="69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000080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80"/>
                <w:szCs w:val="24"/>
                <w:lang w:val="ru-RU"/>
              </w:rPr>
            </w:r>
          </w:p>
        </w:tc>
        <w:tc>
          <w:tcPr>
            <w:tcW w:w="7439" w:type="dxa"/>
            <w:tcBorders>
              <w:top w:val="single" w:sz="4" w:space="0" w:color="00000A"/>
              <w:left w:val="single" w:sz="4" w:space="0" w:color="00000A"/>
              <w:bottom w:val="single" w:sz="24" w:space="0" w:color="00000A"/>
              <w:right w:val="single" w:sz="18" w:space="0" w:color="00000A"/>
              <w:insideH w:val="single" w:sz="24" w:space="0" w:color="00000A"/>
              <w:insideV w:val="single" w:sz="18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rPr/>
            </w:pPr>
            <w:r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  <w:tr>
        <w:trPr/>
        <w:tc>
          <w:tcPr>
            <w:tcW w:w="3188" w:type="dxa"/>
            <w:tcBorders>
              <w:top w:val="single" w:sz="24" w:space="0" w:color="00000A"/>
              <w:left w:val="single" w:sz="24" w:space="0" w:color="00000A"/>
              <w:bottom w:val="dotted" w:sz="4" w:space="0" w:color="00000A"/>
              <w:right w:val="single" w:sz="4" w:space="0" w:color="00000A"/>
              <w:insideH w:val="dotted" w:sz="4" w:space="0" w:color="00000A"/>
              <w:insideV w:val="single" w:sz="4" w:space="0" w:color="00000A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80"/>
                <w:szCs w:val="24"/>
                <w:lang w:val="ru-RU"/>
              </w:rPr>
              <w:t>Ответственный от подрядчика</w:t>
            </w:r>
          </w:p>
        </w:tc>
        <w:tc>
          <w:tcPr>
            <w:tcW w:w="7439" w:type="dxa"/>
            <w:tcBorders>
              <w:top w:val="single" w:sz="24" w:space="0" w:color="00000A"/>
              <w:left w:val="single" w:sz="4" w:space="0" w:color="00000A"/>
              <w:bottom w:val="single" w:sz="4" w:space="0" w:color="00000A"/>
              <w:right w:val="single" w:sz="24" w:space="0" w:color="00000A"/>
              <w:insideH w:val="single" w:sz="4" w:space="0" w:color="00000A"/>
              <w:insideV w:val="single" w:sz="24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spacing w:before="120" w:after="0"/>
              <w:ind w:left="284" w:hanging="0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</w:p>
        </w:tc>
      </w:tr>
      <w:tr>
        <w:trPr/>
        <w:tc>
          <w:tcPr>
            <w:tcW w:w="3188" w:type="dxa"/>
            <w:tcBorders>
              <w:top w:val="dotted" w:sz="4" w:space="0" w:color="00000A"/>
              <w:left w:val="single" w:sz="24" w:space="0" w:color="00000A"/>
              <w:bottom w:val="single" w:sz="24" w:space="0" w:color="00000A"/>
              <w:right w:val="single" w:sz="4" w:space="0" w:color="00000A"/>
              <w:insideH w:val="single" w:sz="24" w:space="0" w:color="00000A"/>
              <w:insideV w:val="single" w:sz="4" w:space="0" w:color="00000A"/>
            </w:tcBorders>
            <w:shd w:fill="auto" w:val="clear"/>
            <w:tcMar>
              <w:left w:w="62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Тел</w:t>
            </w:r>
          </w:p>
        </w:tc>
        <w:tc>
          <w:tcPr>
            <w:tcW w:w="7439" w:type="dxa"/>
            <w:tcBorders>
              <w:top w:val="single" w:sz="4" w:space="0" w:color="00000A"/>
              <w:left w:val="single" w:sz="4" w:space="0" w:color="00000A"/>
              <w:bottom w:val="single" w:sz="24" w:space="0" w:color="00000A"/>
              <w:right w:val="single" w:sz="24" w:space="0" w:color="00000A"/>
              <w:insideH w:val="single" w:sz="24" w:space="0" w:color="00000A"/>
              <w:insideV w:val="single" w:sz="24" w:space="0" w:color="00000A"/>
            </w:tcBorders>
            <w:shd w:fill="auto" w:val="clear"/>
            <w:tcMar>
              <w:left w:w="87" w:type="dxa"/>
            </w:tcMar>
          </w:tcPr>
          <w:p>
            <w:pPr>
              <w:pStyle w:val="Normal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</w:t>
            </w:r>
          </w:p>
        </w:tc>
      </w:tr>
    </w:tbl>
    <w:p>
      <w:pPr>
        <w:pStyle w:val="Normal"/>
        <w:tabs>
          <w:tab w:val="left" w:pos="3969" w:leader="none"/>
        </w:tabs>
        <w:rPr>
          <w:rFonts w:ascii="Times" w:hAnsi="Times"/>
          <w:sz w:val="28"/>
          <w:lang w:val="ru-RU"/>
        </w:rPr>
      </w:pPr>
      <w:r>
        <w:rPr>
          <w:rFonts w:ascii="Times" w:hAnsi="Times"/>
          <w:sz w:val="28"/>
          <w:lang w:val="ru-RU"/>
        </w:rPr>
      </w:r>
    </w:p>
    <w:p>
      <w:pPr>
        <w:pStyle w:val="1"/>
        <w:numPr>
          <w:ilvl w:val="0"/>
          <w:numId w:val="2"/>
        </w:numPr>
        <w:rPr/>
      </w:pPr>
      <w:r>
        <w:rPr>
          <w:lang w:val="ru-RU"/>
        </w:rPr>
        <w:t>ПОДРОБНОЕ ТЕХНИЧЕСКОЕ ОПИСАНИЕ</w:t>
      </w:r>
    </w:p>
    <w:p>
      <w:pPr>
        <w:pStyle w:val="2"/>
        <w:numPr>
          <w:ilvl w:val="1"/>
          <w:numId w:val="2"/>
        </w:numPr>
        <w:ind w:left="993" w:firstLine="2"/>
        <w:rPr>
          <w:lang w:val="ru-RU"/>
        </w:rPr>
      </w:pPr>
      <w:r>
        <w:rPr>
          <w:lang w:val="ru-RU"/>
        </w:rPr>
        <w:t>ЦЕЛЬ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Проведение  строительно-технической экспертизы, подтверждающей соответствие склада хранения камней действующим: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/>
        <w:drawing>
          <wp:inline distT="0" distB="2540" distL="0" distR="0">
            <wp:extent cx="5909945" cy="2760345"/>
            <wp:effectExtent l="0" t="0" r="0" b="0"/>
            <wp:docPr id="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1.         Техническим регламентам;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2.         СНиПам, СП;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3.         Инженерно-техническим требованиям,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4.         Экологическим требованиям.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</w:r>
    </w:p>
    <w:p>
      <w:pPr>
        <w:pStyle w:val="2"/>
        <w:numPr>
          <w:ilvl w:val="1"/>
          <w:numId w:val="2"/>
        </w:numPr>
        <w:ind w:left="993" w:firstLine="2"/>
        <w:rPr>
          <w:sz w:val="20"/>
        </w:rPr>
      </w:pPr>
      <w:r>
        <w:rPr>
          <w:lang w:val="ru-RU"/>
        </w:rPr>
        <w:t>МАТЕРИАЛЬНО_ТЕХНИЧЕСКОЕ ОБЕСПЕЧЕНИЕ ПРОЕКТА</w:t>
      </w:r>
    </w:p>
    <w:p>
      <w:pPr>
        <w:pStyle w:val="3"/>
        <w:numPr>
          <w:ilvl w:val="2"/>
          <w:numId w:val="2"/>
        </w:numPr>
        <w:rPr>
          <w:lang w:val="ru-RU"/>
        </w:rPr>
      </w:pPr>
      <w:r>
        <w:rPr>
          <w:lang w:val="ru-RU"/>
        </w:rPr>
        <w:t>СО СТОРОНЫ ООО «Парок»</w:t>
      </w:r>
    </w:p>
    <w:p>
      <w:pPr>
        <w:pStyle w:val="Normal"/>
        <w:jc w:val="both"/>
        <w:rPr>
          <w:lang w:val="ru-RU"/>
        </w:rPr>
      </w:pPr>
      <w:r>
        <w:rPr>
          <w:lang w:val="ru-RU"/>
        </w:rPr>
        <w:t xml:space="preserve">Техническое  задание. 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1 СПОЗУ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2 Положительное заключение экспертизы строительства завода ООО Парок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3.Рабочий проект Ж/Б бункеров для хранения камня.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4.Исполнительная документация строительства Ж/Б бункеров.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5. Рабочий проект навеса (КМ, КМД) навеса над четырьмя бункерами хранения камня.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6.Исполнительная документация строительства навеса над четырьмя бункерами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 xml:space="preserve">Дополнительная, имеющаяся информация у заказчика,  предоставляемая подрядчику в рамках экспертной оценки. 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Доступ на объект, для проведения экспертных работ.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3"/>
        <w:numPr>
          <w:ilvl w:val="2"/>
          <w:numId w:val="2"/>
        </w:numPr>
        <w:rPr>
          <w:lang w:val="ru-RU"/>
        </w:rPr>
      </w:pPr>
      <w:r>
        <w:rPr>
          <w:lang w:val="ru-RU"/>
        </w:rPr>
        <w:t>СО СТОРОНЫ ПОДРЯДЧИКА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Выполнение работ по проведению </w:t>
      </w:r>
      <w:r>
        <w:rPr>
          <w:rFonts w:ascii="Times" w:hAnsi="Times"/>
          <w:szCs w:val="24"/>
          <w:lang w:val="ru-RU"/>
        </w:rPr>
        <w:t xml:space="preserve">строительно-технической экспертизы, </w:t>
      </w:r>
      <w:r>
        <w:rPr>
          <w:rFonts w:ascii="Times New Roman" w:hAnsi="Times New Roman"/>
          <w:lang w:val="ru-RU"/>
        </w:rPr>
        <w:t xml:space="preserve"> согласно технического задания, СНиП, СП, Российского законодательства. Обеспечение материалами, техникой, людскими ресурсами для выполнения работ.</w:t>
      </w:r>
    </w:p>
    <w:p>
      <w:pPr>
        <w:pStyle w:val="2"/>
        <w:numPr>
          <w:ilvl w:val="1"/>
          <w:numId w:val="2"/>
        </w:numPr>
        <w:ind w:left="993" w:hanging="0"/>
        <w:rPr>
          <w:lang w:val="ru-RU"/>
        </w:rPr>
      </w:pPr>
      <w:r>
        <w:rPr>
          <w:lang w:val="ru-RU"/>
        </w:rPr>
        <w:t>ТЕХНИЧЕСКОЕ ОПИСАНИЕ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Строительств шести  Ж/Б бункеров для хранения камня на заводе каменной ваты ООО Парок: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Обоснование для строительства: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Тех задание на проектирование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/>
        <w:drawing>
          <wp:inline distT="0" distB="0" distL="0" distR="1270">
            <wp:extent cx="3694430" cy="2273935"/>
            <wp:effectExtent l="0" t="0" r="0" b="0"/>
            <wp:docPr id="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b/>
          <w:b/>
          <w:i/>
          <w:i/>
          <w:u w:val="single"/>
          <w:lang w:val="ru-RU"/>
        </w:rPr>
      </w:pPr>
      <w:r>
        <w:rPr/>
      </w:r>
    </w:p>
    <w:p>
      <w:pPr>
        <w:pStyle w:val="Normal"/>
        <w:jc w:val="both"/>
        <w:rPr>
          <w:rFonts w:ascii="Times New Roman" w:hAnsi="Times New Roman"/>
          <w:b/>
          <w:b/>
          <w:i/>
          <w:i/>
          <w:u w:val="single"/>
          <w:lang w:val="ru-RU"/>
        </w:rPr>
      </w:pPr>
      <w:r>
        <w:rPr>
          <w:rFonts w:ascii="Times New Roman" w:hAnsi="Times New Roman"/>
          <w:b/>
          <w:i/>
          <w:u w:val="single"/>
          <w:lang w:val="ru-RU"/>
        </w:rPr>
        <w:t>Строительство: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Начало-октябрь 2015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Окончание-январь 2016 года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</w:t>
      </w:r>
      <w:r>
        <w:rPr>
          <w:rFonts w:ascii="Times New Roman" w:hAnsi="Times New Roman"/>
          <w:lang w:val="ru-RU"/>
        </w:rPr>
        <w:drawing>
          <wp:inline distT="0" distB="9525" distL="0" distR="6985">
            <wp:extent cx="5441950" cy="2639060"/>
            <wp:effectExtent l="0" t="0" r="0" b="0"/>
            <wp:docPr id="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Стороительство навесов над четырьмя бункерами склада камней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/>
        <w:drawing>
          <wp:inline distT="0" distB="8255" distL="0" distR="0">
            <wp:extent cx="4497705" cy="2449195"/>
            <wp:effectExtent l="0" t="0" r="0" b="0"/>
            <wp:docPr id="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/>
        <w:drawing>
          <wp:inline distT="0" distB="8255" distL="0" distR="0">
            <wp:extent cx="4673600" cy="1991995"/>
            <wp:effectExtent l="0" t="0" r="0" b="0"/>
            <wp:docPr id="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</w:r>
    </w:p>
    <w:p>
      <w:pPr>
        <w:pStyle w:val="Normal"/>
        <w:jc w:val="both"/>
        <w:rPr>
          <w:rFonts w:ascii="Times New Roman" w:hAnsi="Times New Roman"/>
          <w:b/>
          <w:b/>
          <w:i/>
          <w:i/>
          <w:u w:val="single"/>
          <w:lang w:val="ru-RU" w:eastAsia="ru-RU"/>
        </w:rPr>
      </w:pPr>
      <w:r>
        <w:rPr>
          <w:rFonts w:ascii="Times New Roman" w:hAnsi="Times New Roman"/>
          <w:b/>
          <w:i/>
          <w:u w:val="single"/>
          <w:lang w:val="ru-RU" w:eastAsia="ru-RU"/>
        </w:rPr>
        <w:t>Обоснование для строительства: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Тех задание на проектирование.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Проект КМ.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Проект КМД.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Начало строительства ноябрь 2017.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Окончание строительства январь 2018.</w:t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2"/>
        <w:numPr>
          <w:ilvl w:val="1"/>
          <w:numId w:val="2"/>
        </w:numPr>
        <w:ind w:left="993" w:hanging="0"/>
        <w:rPr>
          <w:lang w:val="ru-RU"/>
        </w:rPr>
      </w:pPr>
      <w:r>
        <w:rPr>
          <w:lang w:val="ru-RU"/>
        </w:rPr>
        <w:t>ТРЕБОВАНИЯ ПО ОХРАНЕ ТРУДА, ТЕХНИКЕ БЕЗОПАСНОСТИ И ПРОМЫШЛЕННОЙ БЕЗОПАСНОСТИ.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Подрядчик обязан соблюдать требования положения "Положение об установлении  требований к подрядным организациям по охране труда, окружающей среды и обеспечению промышленной безопасности ООО Прок", Безопасность труда в строительстве согласно СНиП  и СП.   Остатки материалов и отходы должны быть утилизированы подрядчиком.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2"/>
        <w:numPr>
          <w:ilvl w:val="1"/>
          <w:numId w:val="2"/>
        </w:numPr>
        <w:ind w:left="1560" w:hanging="567"/>
        <w:rPr>
          <w:highlight w:val="lightGray"/>
          <w:lang w:val="ru-RU"/>
        </w:rPr>
      </w:pPr>
      <w:r>
        <w:rPr>
          <w:highlight w:val="lightGray"/>
          <w:lang w:val="ru-RU"/>
        </w:rPr>
        <w:t>ДОКУМЕНТАЦИЯ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Заключение  строительно-технической экспертизы, подтверждающей соответствие склада хранения камней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1.         Техническим регламентам;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2.         СНиПам, СП;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3.         Инженерно-техническим требованиям,</w:t>
      </w:r>
    </w:p>
    <w:p>
      <w:pPr>
        <w:pStyle w:val="Normal"/>
        <w:jc w:val="both"/>
        <w:rPr>
          <w:rFonts w:ascii="Times New Roman" w:hAnsi="Times New Roman"/>
          <w:lang w:val="ru-RU" w:eastAsia="ru-RU"/>
        </w:rPr>
      </w:pPr>
      <w:r>
        <w:rPr>
          <w:rFonts w:ascii="Times New Roman" w:hAnsi="Times New Roman"/>
          <w:lang w:val="ru-RU" w:eastAsia="ru-RU"/>
        </w:rPr>
        <w:t>4.         Экологическим требованиям.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2"/>
        <w:numPr>
          <w:ilvl w:val="1"/>
          <w:numId w:val="2"/>
        </w:numPr>
        <w:ind w:left="993" w:hanging="0"/>
        <w:rPr>
          <w:lang w:val="ru-RU"/>
        </w:rPr>
      </w:pPr>
      <w:r>
        <w:rPr>
          <w:lang w:val="ru-RU"/>
        </w:rPr>
        <w:t xml:space="preserve">ПРИЛОЖЕНИЕ </w:t>
      </w:r>
    </w:p>
    <w:p>
      <w:pPr>
        <w:pStyle w:val="Normal"/>
        <w:rPr>
          <w:i/>
          <w:i/>
          <w:u w:val="single"/>
          <w:lang w:val="ru-RU"/>
        </w:rPr>
      </w:pPr>
      <w:r>
        <w:rPr>
          <w:i/>
          <w:u w:val="single"/>
          <w:lang w:val="ru-RU"/>
        </w:rPr>
        <w:t>При выполнении экспертных работ заказчик предоставляет: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1. Положительное заключение экспертизы строительства завода ООО Парок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2.Рабочий проект Ж/Б бункеров для хранения камня.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3.Исполнительная документация строительства Ж/Б бункеров.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4. Рабочий проект навеса (КМ, КМД) навеса над четырьмя бункерами хранения камня.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>5.Исполнительная документация строительства навеса над четырьмя бункерами</w:t>
      </w:r>
    </w:p>
    <w:p>
      <w:pPr>
        <w:pStyle w:val="Normal"/>
        <w:jc w:val="both"/>
        <w:rPr>
          <w:rFonts w:ascii="Times" w:hAnsi="Times"/>
          <w:szCs w:val="24"/>
          <w:lang w:val="ru-RU"/>
        </w:rPr>
      </w:pPr>
      <w:r>
        <w:rPr>
          <w:rFonts w:ascii="Times" w:hAnsi="Times"/>
          <w:szCs w:val="24"/>
          <w:lang w:val="ru-RU"/>
        </w:rPr>
        <w:t xml:space="preserve">Дополнительная, имеющаяся информация у заказчика,  предоставляемая подрядчику в рамках экспертной оценки. </w:t>
      </w:r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bookmarkStart w:id="0" w:name="_GoBack"/>
      <w:bookmarkStart w:id="1" w:name="_GoBack"/>
      <w:bookmarkEnd w:id="1"/>
      <w:r>
        <w:rPr>
          <w:lang w:val="ru-RU"/>
        </w:rPr>
      </w:r>
    </w:p>
    <w:p>
      <w:pPr>
        <w:pStyle w:val="Normal"/>
        <w:jc w:val="both"/>
        <w:rPr/>
      </w:pPr>
      <w:r>
        <w:rPr/>
      </w:r>
    </w:p>
    <w:sectPr>
      <w:footerReference w:type="default" r:id="rId7"/>
      <w:type w:val="nextPage"/>
      <w:pgSz w:w="11906" w:h="16838"/>
      <w:pgMar w:left="851" w:right="567" w:header="0" w:top="680" w:footer="0" w:bottom="56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New York">
    <w:charset w:val="01"/>
    <w:family w:val="roman"/>
    <w:pitch w:val="variable"/>
  </w:font>
  <w:font w:name="Bookman Old Style"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  <w:font w:name="Verdan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rPr/>
    </w:pPr>
    <w:r>
      <w:rPr>
        <w:lang w:val="en-US"/>
      </w:rPr>
      <w:t xml:space="preserve">                                                                                                      </w:t>
    </w:r>
    <w:r>
      <w:rPr/>
      <w:t xml:space="preserve">Page </w:t>
    </w:r>
    <w:r>
      <w:rPr>
        <w:b/>
        <w:bCs/>
        <w:szCs w:val="24"/>
      </w:rPr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  <w:r>
      <w:rPr/>
      <w:t xml:space="preserve"> of </w:t>
    </w:r>
    <w:r>
      <w:rPr>
        <w:b/>
        <w:bCs/>
        <w:szCs w:val="24"/>
      </w:rPr>
      <w:fldChar w:fldCharType="begin"/>
    </w:r>
    <w:r>
      <w:instrText> NUMPAGES </w:instrText>
    </w:r>
    <w:r>
      <w:fldChar w:fldCharType="separate"/>
    </w:r>
    <w:r>
      <w:t>4</w:t>
    </w:r>
    <w:r>
      <w:fldChar w:fldCharType="end"/>
    </w:r>
  </w:p>
  <w:p>
    <w:pPr>
      <w:pStyle w:val="NormalWeb"/>
      <w:spacing w:beforeAutospacing="0" w:before="0" w:afterAutospacing="0" w:after="0"/>
      <w:jc w:val="center"/>
      <w:rPr>
        <w:lang w:val="en-US"/>
      </w:rPr>
    </w:pPr>
    <w:r>
      <w:rPr>
        <w:rFonts w:ascii="Calibri" w:hAnsi="Calibri"/>
        <w:color w:val="323232"/>
        <w:sz w:val="22"/>
        <w:szCs w:val="22"/>
        <w:lang w:val="en-US"/>
      </w:rPr>
      <w:t>© Paroc Group Oy</w:t>
    </w:r>
  </w:p>
  <w:p>
    <w:pPr>
      <w:pStyle w:val="NormalWeb"/>
      <w:spacing w:beforeAutospacing="0" w:before="0" w:afterAutospacing="0" w:after="0"/>
      <w:jc w:val="center"/>
      <w:rPr>
        <w:lang w:val="en-US"/>
      </w:rPr>
    </w:pPr>
    <w:r>
      <w:rPr>
        <w:lang w:val="en-US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ind w:left="708" w:hanging="708"/>
      </w:pPr>
    </w:lvl>
    <w:lvl w:ilvl="1">
      <w:start w:val="1"/>
      <w:pStyle w:val="2"/>
      <w:numFmt w:val="decimal"/>
      <w:lvlText w:val="%1.%2."/>
      <w:lvlJc w:val="left"/>
      <w:pPr>
        <w:ind w:left="1559" w:hanging="708"/>
      </w:pPr>
      <w:rPr>
        <w:sz w:val="24"/>
      </w:rPr>
    </w:lvl>
    <w:lvl w:ilvl="2">
      <w:start w:val="1"/>
      <w:pStyle w:val="3"/>
      <w:numFmt w:val="decimal"/>
      <w:lvlText w:val="%1.%2.%3."/>
      <w:lvlJc w:val="left"/>
      <w:pPr>
        <w:ind w:left="1843" w:hanging="708"/>
      </w:pPr>
    </w:lvl>
    <w:lvl w:ilvl="3">
      <w:start w:val="1"/>
      <w:pStyle w:val="4"/>
      <w:numFmt w:val="decimal"/>
      <w:lvlText w:val="%1.%2.%3.%4."/>
      <w:lvlJc w:val="left"/>
      <w:pPr>
        <w:ind w:left="2832" w:hanging="708"/>
      </w:pPr>
    </w:lvl>
    <w:lvl w:ilvl="4">
      <w:start w:val="1"/>
      <w:pStyle w:val="5"/>
      <w:numFmt w:val="decimal"/>
      <w:lvlText w:val="%1.%2.%3.%4.%5."/>
      <w:lvlJc w:val="left"/>
      <w:pPr>
        <w:ind w:left="3540" w:hanging="708"/>
      </w:pPr>
    </w:lvl>
    <w:lvl w:ilvl="5">
      <w:start w:val="1"/>
      <w:pStyle w:val="6"/>
      <w:numFmt w:val="decimal"/>
      <w:lvlText w:val="%1.%2.%3.%4.%5.%6."/>
      <w:lvlJc w:val="left"/>
      <w:pPr>
        <w:ind w:left="4248" w:hanging="708"/>
      </w:pPr>
    </w:lvl>
    <w:lvl w:ilvl="6">
      <w:start w:val="1"/>
      <w:pStyle w:val="7"/>
      <w:numFmt w:val="decimal"/>
      <w:lvlText w:val="%1.%2.%3.%4.%5.%6.%7."/>
      <w:lvlJc w:val="left"/>
      <w:pPr>
        <w:ind w:left="4956" w:hanging="708"/>
      </w:pPr>
    </w:lvl>
    <w:lvl w:ilvl="7">
      <w:start w:val="1"/>
      <w:pStyle w:val="8"/>
      <w:numFmt w:val="decimal"/>
      <w:lvlText w:val="%1.%2.%3.%4.%5.%6.%7.%8."/>
      <w:lvlJc w:val="left"/>
      <w:pPr>
        <w:ind w:left="5664" w:hanging="708"/>
      </w:pPr>
    </w:lvl>
    <w:lvl w:ilvl="8">
      <w:start w:val="1"/>
      <w:pStyle w:val="9"/>
      <w:numFmt w:val="decimal"/>
      <w:lvlText w:val="%1.%2.%3.%4.%5.%6.%7.%8.%9."/>
      <w:lvlJc w:val="left"/>
      <w:pPr>
        <w:ind w:left="6372" w:hanging="708"/>
      </w:pPr>
    </w:lvl>
  </w:abstractNum>
  <w:abstractNum w:abstractNumId="2">
    <w:lvl w:ilvl="0">
      <w:start w:val="1"/>
      <w:numFmt w:val="decimal"/>
      <w:lvlText w:val="%1."/>
      <w:lvlJc w:val="left"/>
      <w:pPr>
        <w:ind w:left="708" w:hanging="708"/>
      </w:pPr>
    </w:lvl>
    <w:lvl w:ilvl="1">
      <w:start w:val="1"/>
      <w:numFmt w:val="decimal"/>
      <w:lvlText w:val="%1.%2."/>
      <w:lvlJc w:val="left"/>
      <w:pPr>
        <w:ind w:left="1559" w:hanging="708"/>
      </w:pPr>
      <w:rPr>
        <w:sz w:val="20"/>
      </w:rPr>
    </w:lvl>
    <w:lvl w:ilvl="2">
      <w:start w:val="1"/>
      <w:numFmt w:val="decimal"/>
      <w:lvlText w:val="%1.%2.%3."/>
      <w:lvlJc w:val="left"/>
      <w:pPr>
        <w:ind w:left="1843" w:hanging="708"/>
      </w:pPr>
    </w:lvl>
    <w:lvl w:ilvl="3">
      <w:start w:val="1"/>
      <w:numFmt w:val="decimal"/>
      <w:lvlText w:val="%1.%2.%3.%4."/>
      <w:lvlJc w:val="left"/>
      <w:pPr>
        <w:ind w:left="2832" w:hanging="708"/>
      </w:pPr>
    </w:lvl>
    <w:lvl w:ilvl="4">
      <w:start w:val="1"/>
      <w:numFmt w:val="decimal"/>
      <w:lvlText w:val="%1.%2.%3.%4.%5."/>
      <w:lvlJc w:val="left"/>
      <w:pPr>
        <w:ind w:left="3540" w:hanging="708"/>
      </w:pPr>
    </w:lvl>
    <w:lvl w:ilvl="5">
      <w:start w:val="1"/>
      <w:numFmt w:val="decimal"/>
      <w:lvlText w:val="%1.%2.%3.%4.%5.%6."/>
      <w:lvlJc w:val="left"/>
      <w:pPr>
        <w:ind w:left="4248" w:hanging="708"/>
      </w:pPr>
    </w:lvl>
    <w:lvl w:ilvl="6">
      <w:start w:val="1"/>
      <w:numFmt w:val="decimal"/>
      <w:lvlText w:val="%1.%2.%3.%4.%5.%6.%7."/>
      <w:lvlJc w:val="left"/>
      <w:pPr>
        <w:ind w:left="4956" w:hanging="708"/>
      </w:pPr>
    </w:lvl>
    <w:lvl w:ilvl="7">
      <w:start w:val="1"/>
      <w:numFmt w:val="decimal"/>
      <w:lvlText w:val="%1.%2.%3.%4.%5.%6.%7.%8."/>
      <w:lvlJc w:val="left"/>
      <w:pPr>
        <w:ind w:left="5664" w:hanging="708"/>
      </w:pPr>
    </w:lvl>
    <w:lvl w:ilvl="8">
      <w:start w:val="1"/>
      <w:numFmt w:val="decimal"/>
      <w:lvlText w:val="%1.%2.%3.%4.%5.%6.%7.%8.%9."/>
      <w:lvlJc w:val="left"/>
      <w:pPr>
        <w:ind w:left="6372" w:hanging="708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8"/>
  <w:embedSystemFonts/>
  <w:defaultTabStop w:val="567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ew York" w:hAnsi="New York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overflowPunct w:val="true"/>
      <w:bidi w:val="0"/>
      <w:jc w:val="left"/>
      <w:textAlignment w:val="baseline"/>
    </w:pPr>
    <w:rPr>
      <w:rFonts w:ascii="Bookman Old Style" w:hAnsi="Bookman Old Style" w:eastAsia="Times New Roman" w:cs="Times New Roman"/>
      <w:color w:val="auto"/>
      <w:sz w:val="24"/>
      <w:szCs w:val="20"/>
      <w:lang w:val="fr-FR" w:eastAsia="en-US" w:bidi="ar-SA"/>
    </w:rPr>
  </w:style>
  <w:style w:type="paragraph" w:styleId="1">
    <w:name w:val="Heading 1"/>
    <w:basedOn w:val="Normal"/>
    <w:qFormat/>
    <w:rsid w:val="00495fc3"/>
    <w:pPr>
      <w:numPr>
        <w:ilvl w:val="0"/>
        <w:numId w:val="1"/>
      </w:numPr>
      <w:spacing w:before="240" w:after="120"/>
      <w:outlineLvl w:val="0"/>
      <w:outlineLvl w:val="0"/>
    </w:pPr>
    <w:rPr>
      <w:b/>
      <w:color w:val="993300"/>
    </w:rPr>
  </w:style>
  <w:style w:type="paragraph" w:styleId="2">
    <w:name w:val="Heading 2"/>
    <w:basedOn w:val="Normal"/>
    <w:qFormat/>
    <w:pPr>
      <w:numPr>
        <w:ilvl w:val="1"/>
        <w:numId w:val="1"/>
      </w:numPr>
      <w:spacing w:before="120" w:after="120"/>
      <w:ind w:left="2126" w:hanging="0"/>
      <w:outlineLvl w:val="1"/>
      <w:outlineLvl w:val="1"/>
    </w:pPr>
    <w:rPr>
      <w:b/>
      <w:color w:val="000080"/>
    </w:rPr>
  </w:style>
  <w:style w:type="paragraph" w:styleId="3">
    <w:name w:val="Heading 3"/>
    <w:basedOn w:val="Normal"/>
    <w:qFormat/>
    <w:pPr>
      <w:numPr>
        <w:ilvl w:val="2"/>
        <w:numId w:val="1"/>
      </w:numPr>
      <w:spacing w:before="120" w:after="120"/>
      <w:ind w:left="1985" w:hanging="0"/>
      <w:outlineLvl w:val="2"/>
      <w:outlineLvl w:val="2"/>
    </w:pPr>
    <w:rPr>
      <w:i/>
      <w:color w:val="008080"/>
    </w:rPr>
  </w:style>
  <w:style w:type="paragraph" w:styleId="4">
    <w:name w:val="Heading 4"/>
    <w:basedOn w:val="Normal"/>
    <w:qFormat/>
    <w:pPr>
      <w:numPr>
        <w:ilvl w:val="3"/>
        <w:numId w:val="1"/>
      </w:numPr>
      <w:outlineLvl w:val="3"/>
      <w:outlineLvl w:val="3"/>
    </w:pPr>
    <w:rPr>
      <w:rFonts w:ascii="Times" w:hAnsi="Times"/>
      <w:u w:val="single"/>
    </w:rPr>
  </w:style>
  <w:style w:type="paragraph" w:styleId="5">
    <w:name w:val="Heading 5"/>
    <w:basedOn w:val="Normal"/>
    <w:qFormat/>
    <w:pPr>
      <w:numPr>
        <w:ilvl w:val="4"/>
        <w:numId w:val="1"/>
      </w:numPr>
      <w:outlineLvl w:val="4"/>
      <w:outlineLvl w:val="4"/>
    </w:pPr>
    <w:rPr>
      <w:rFonts w:ascii="Helvetica" w:hAnsi="Helvetica"/>
      <w:b/>
      <w:sz w:val="20"/>
    </w:rPr>
  </w:style>
  <w:style w:type="paragraph" w:styleId="6">
    <w:name w:val="Heading 6"/>
    <w:basedOn w:val="Normal"/>
    <w:qFormat/>
    <w:pPr>
      <w:numPr>
        <w:ilvl w:val="5"/>
        <w:numId w:val="1"/>
      </w:numPr>
      <w:spacing w:before="240" w:after="60"/>
      <w:outlineLvl w:val="5"/>
      <w:outlineLvl w:val="5"/>
    </w:pPr>
    <w:rPr>
      <w:rFonts w:ascii="Times New Roman" w:hAnsi="Times New Roman"/>
      <w:i/>
      <w:sz w:val="22"/>
    </w:rPr>
  </w:style>
  <w:style w:type="paragraph" w:styleId="7">
    <w:name w:val="Heading 7"/>
    <w:basedOn w:val="Normal"/>
    <w:qFormat/>
    <w:pPr>
      <w:numPr>
        <w:ilvl w:val="6"/>
        <w:numId w:val="1"/>
      </w:numPr>
      <w:spacing w:before="240" w:after="60"/>
      <w:outlineLvl w:val="6"/>
      <w:outlineLvl w:val="6"/>
    </w:pPr>
    <w:rPr>
      <w:rFonts w:ascii="Arial" w:hAnsi="Arial"/>
      <w:sz w:val="20"/>
    </w:rPr>
  </w:style>
  <w:style w:type="paragraph" w:styleId="8">
    <w:name w:val="Heading 8"/>
    <w:basedOn w:val="Normal"/>
    <w:qFormat/>
    <w:pPr>
      <w:numPr>
        <w:ilvl w:val="7"/>
        <w:numId w:val="1"/>
      </w:numPr>
      <w:spacing w:before="240" w:after="60"/>
      <w:outlineLvl w:val="7"/>
      <w:outlineLvl w:val="7"/>
    </w:pPr>
    <w:rPr>
      <w:rFonts w:ascii="Arial" w:hAnsi="Arial"/>
      <w:i/>
      <w:sz w:val="20"/>
    </w:rPr>
  </w:style>
  <w:style w:type="paragraph" w:styleId="9">
    <w:name w:val="Heading 9"/>
    <w:basedOn w:val="Normal"/>
    <w:qFormat/>
    <w:pPr>
      <w:numPr>
        <w:ilvl w:val="8"/>
        <w:numId w:val="1"/>
      </w:numPr>
      <w:spacing w:before="240" w:after="60"/>
      <w:outlineLvl w:val="8"/>
      <w:outlineLvl w:val="8"/>
    </w:pPr>
    <w:rPr>
      <w:rFonts w:ascii="Arial" w:hAnsi="Arial"/>
      <w:b/>
      <w:i/>
      <w:sz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Pr/>
  </w:style>
  <w:style w:type="character" w:styleId="Annotationreference">
    <w:name w:val="annotation reference"/>
    <w:semiHidden/>
    <w:qFormat/>
    <w:rsid w:val="00b46629"/>
    <w:rPr>
      <w:sz w:val="16"/>
      <w:szCs w:val="16"/>
    </w:rPr>
  </w:style>
  <w:style w:type="character" w:styleId="Style10ptGrasRouge" w:customStyle="1">
    <w:name w:val="Style 10 pt Gras Rouge"/>
    <w:qFormat/>
    <w:rsid w:val="00e8457b"/>
    <w:rPr>
      <w:b/>
      <w:bCs/>
      <w:color w:val="993300"/>
      <w:sz w:val="20"/>
    </w:rPr>
  </w:style>
  <w:style w:type="character" w:styleId="Style5">
    <w:name w:val="Интернет-ссылка"/>
    <w:rsid w:val="000c7abc"/>
    <w:rPr>
      <w:color w:val="0000FF"/>
      <w:u w:val="single"/>
    </w:rPr>
  </w:style>
  <w:style w:type="character" w:styleId="Strong">
    <w:name w:val="Strong"/>
    <w:qFormat/>
    <w:rsid w:val="003c6811"/>
    <w:rPr>
      <w:b/>
      <w:bCs/>
    </w:rPr>
  </w:style>
  <w:style w:type="character" w:styleId="Style6" w:customStyle="1">
    <w:name w:val="Нижний колонтитул Знак"/>
    <w:link w:val="a4"/>
    <w:uiPriority w:val="99"/>
    <w:qFormat/>
    <w:rsid w:val="00fa1fc1"/>
    <w:rPr>
      <w:rFonts w:ascii="Bookman Old Style" w:hAnsi="Bookman Old Style"/>
      <w:sz w:val="24"/>
      <w:lang w:val="fr-FR" w:eastAsia="en-US"/>
    </w:rPr>
  </w:style>
  <w:style w:type="character" w:styleId="Style7" w:customStyle="1">
    <w:name w:val="Без интервала Знак"/>
    <w:link w:val="af0"/>
    <w:uiPriority w:val="1"/>
    <w:qFormat/>
    <w:rsid w:val="006b63cc"/>
    <w:rPr>
      <w:rFonts w:ascii="Calibri" w:hAnsi="Calibri" w:eastAsia="MS Mincho" w:cs="Arial"/>
      <w:sz w:val="22"/>
      <w:szCs w:val="22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qFormat/>
    <w:rsid w:val="0007787d"/>
    <w:rPr>
      <w:color w:val="808080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sz w:val="24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sz w:val="24"/>
    </w:rPr>
  </w:style>
  <w:style w:type="character" w:styleId="ListLabel49">
    <w:name w:val="ListLabel 49"/>
    <w:qFormat/>
    <w:rPr>
      <w:sz w:val="24"/>
    </w:rPr>
  </w:style>
  <w:style w:type="character" w:styleId="ListLabel50">
    <w:name w:val="ListLabel 50"/>
    <w:qFormat/>
    <w:rPr>
      <w:sz w:val="24"/>
    </w:rPr>
  </w:style>
  <w:style w:type="character" w:styleId="ListLabel51">
    <w:name w:val="ListLabel 51"/>
    <w:qFormat/>
    <w:rPr>
      <w:sz w:val="24"/>
    </w:rPr>
  </w:style>
  <w:style w:type="paragraph" w:styleId="Style8">
    <w:name w:val="Заголовок"/>
    <w:basedOn w:val="Normal"/>
    <w:next w:val="Style9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9">
    <w:name w:val="Body Text"/>
    <w:basedOn w:val="Normal"/>
    <w:pPr>
      <w:spacing w:lineRule="auto" w:line="288" w:before="0" w:after="140"/>
    </w:pPr>
    <w:rPr/>
  </w:style>
  <w:style w:type="paragraph" w:styleId="Style10">
    <w:name w:val="List"/>
    <w:basedOn w:val="Style9"/>
    <w:pPr/>
    <w:rPr>
      <w:rFonts w:cs="FreeSans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2">
    <w:name w:val="Указатель"/>
    <w:basedOn w:val="Normal"/>
    <w:qFormat/>
    <w:pPr>
      <w:suppressLineNumbers/>
    </w:pPr>
    <w:rPr>
      <w:rFonts w:cs="FreeSans"/>
    </w:rPr>
  </w:style>
  <w:style w:type="paragraph" w:styleId="Style13">
    <w:name w:val="Footer"/>
    <w:basedOn w:val="Normal"/>
    <w:link w:val="a5"/>
    <w:uiPriority w:val="99"/>
    <w:pPr>
      <w:tabs>
        <w:tab w:val="center" w:pos="4819" w:leader="none"/>
        <w:tab w:val="right" w:pos="9071" w:leader="none"/>
      </w:tabs>
    </w:pPr>
    <w:rPr/>
  </w:style>
  <w:style w:type="paragraph" w:styleId="Style14">
    <w:name w:val="Header"/>
    <w:basedOn w:val="Normal"/>
    <w:pPr>
      <w:tabs>
        <w:tab w:val="center" w:pos="4819" w:leader="none"/>
        <w:tab w:val="right" w:pos="9071" w:leader="none"/>
      </w:tabs>
    </w:pPr>
    <w:rPr/>
  </w:style>
  <w:style w:type="paragraph" w:styleId="11">
    <w:name w:val="TOC 1"/>
    <w:basedOn w:val="Normal"/>
    <w:semiHidden/>
    <w:rsid w:val="00f81dba"/>
    <w:pPr>
      <w:tabs>
        <w:tab w:val="right" w:pos="9639" w:leader="none"/>
      </w:tabs>
      <w:spacing w:before="240" w:after="120"/>
    </w:pPr>
    <w:rPr>
      <w:rFonts w:ascii="Times New Roman" w:hAnsi="Times New Roman"/>
      <w:b/>
      <w:color w:val="993300"/>
      <w:sz w:val="20"/>
    </w:rPr>
  </w:style>
  <w:style w:type="paragraph" w:styleId="21">
    <w:name w:val="TOC 2"/>
    <w:basedOn w:val="Normal"/>
    <w:semiHidden/>
    <w:rsid w:val="00f81dba"/>
    <w:pPr>
      <w:tabs>
        <w:tab w:val="right" w:pos="9639" w:leader="none"/>
      </w:tabs>
      <w:spacing w:before="120" w:after="0"/>
      <w:ind w:left="240" w:hanging="0"/>
    </w:pPr>
    <w:rPr>
      <w:rFonts w:ascii="Times New Roman" w:hAnsi="Times New Roman"/>
      <w:i/>
      <w:color w:val="000080"/>
      <w:sz w:val="20"/>
    </w:rPr>
  </w:style>
  <w:style w:type="paragraph" w:styleId="31">
    <w:name w:val="TOC 3"/>
    <w:basedOn w:val="Normal"/>
    <w:semiHidden/>
    <w:rsid w:val="00f81dba"/>
    <w:pPr>
      <w:tabs>
        <w:tab w:val="right" w:pos="9639" w:leader="none"/>
      </w:tabs>
      <w:spacing w:before="120" w:after="0"/>
      <w:ind w:left="482" w:hanging="0"/>
    </w:pPr>
    <w:rPr>
      <w:rFonts w:ascii="Times New Roman" w:hAnsi="Times New Roman"/>
      <w:color w:val="008080"/>
      <w:sz w:val="20"/>
    </w:rPr>
  </w:style>
  <w:style w:type="paragraph" w:styleId="41">
    <w:name w:val="TOC 4"/>
    <w:basedOn w:val="Normal"/>
    <w:semiHidden/>
    <w:pPr>
      <w:tabs>
        <w:tab w:val="right" w:pos="10489" w:leader="none"/>
      </w:tabs>
      <w:ind w:left="720" w:hanging="0"/>
    </w:pPr>
    <w:rPr>
      <w:rFonts w:ascii="Times New Roman" w:hAnsi="Times New Roman"/>
      <w:sz w:val="20"/>
    </w:rPr>
  </w:style>
  <w:style w:type="paragraph" w:styleId="Style15" w:customStyle="1">
    <w:name w:val="Style1"/>
    <w:basedOn w:val="2"/>
    <w:qFormat/>
    <w:pPr>
      <w:numPr>
        <w:ilvl w:val="0"/>
        <w:numId w:val="0"/>
      </w:numPr>
      <w:ind w:left="2126" w:hanging="0"/>
    </w:pPr>
    <w:rPr/>
  </w:style>
  <w:style w:type="paragraph" w:styleId="TM1" w:customStyle="1">
    <w:name w:val="TM1"/>
    <w:basedOn w:val="1"/>
    <w:qFormat/>
    <w:pPr>
      <w:numPr>
        <w:ilvl w:val="0"/>
        <w:numId w:val="0"/>
      </w:numPr>
    </w:pPr>
    <w:rPr/>
  </w:style>
  <w:style w:type="paragraph" w:styleId="51">
    <w:name w:val="TOC 5"/>
    <w:basedOn w:val="Normal"/>
    <w:semiHidden/>
    <w:pPr>
      <w:tabs>
        <w:tab w:val="right" w:pos="10489" w:leader="none"/>
      </w:tabs>
      <w:ind w:left="960" w:hanging="0"/>
    </w:pPr>
    <w:rPr>
      <w:rFonts w:ascii="Times New Roman" w:hAnsi="Times New Roman"/>
      <w:sz w:val="20"/>
    </w:rPr>
  </w:style>
  <w:style w:type="paragraph" w:styleId="61">
    <w:name w:val="TOC 6"/>
    <w:basedOn w:val="Normal"/>
    <w:semiHidden/>
    <w:pPr>
      <w:tabs>
        <w:tab w:val="right" w:pos="10489" w:leader="none"/>
      </w:tabs>
      <w:ind w:left="1200" w:hanging="0"/>
    </w:pPr>
    <w:rPr>
      <w:rFonts w:ascii="Times New Roman" w:hAnsi="Times New Roman"/>
      <w:sz w:val="20"/>
    </w:rPr>
  </w:style>
  <w:style w:type="paragraph" w:styleId="71">
    <w:name w:val="TOC 7"/>
    <w:basedOn w:val="Normal"/>
    <w:semiHidden/>
    <w:pPr>
      <w:tabs>
        <w:tab w:val="right" w:pos="10489" w:leader="none"/>
      </w:tabs>
      <w:ind w:left="1440" w:hanging="0"/>
    </w:pPr>
    <w:rPr>
      <w:rFonts w:ascii="Times New Roman" w:hAnsi="Times New Roman"/>
      <w:sz w:val="20"/>
    </w:rPr>
  </w:style>
  <w:style w:type="paragraph" w:styleId="81">
    <w:name w:val="TOC 8"/>
    <w:basedOn w:val="Normal"/>
    <w:semiHidden/>
    <w:pPr>
      <w:tabs>
        <w:tab w:val="right" w:pos="10489" w:leader="none"/>
      </w:tabs>
      <w:ind w:left="1680" w:hanging="0"/>
    </w:pPr>
    <w:rPr>
      <w:rFonts w:ascii="Times New Roman" w:hAnsi="Times New Roman"/>
      <w:sz w:val="20"/>
    </w:rPr>
  </w:style>
  <w:style w:type="paragraph" w:styleId="91">
    <w:name w:val="TOC 9"/>
    <w:basedOn w:val="Normal"/>
    <w:semiHidden/>
    <w:pPr>
      <w:tabs>
        <w:tab w:val="right" w:pos="10489" w:leader="none"/>
      </w:tabs>
      <w:ind w:left="1920" w:hanging="0"/>
    </w:pPr>
    <w:rPr>
      <w:rFonts w:ascii="Times New Roman" w:hAnsi="Times New Roman"/>
      <w:sz w:val="20"/>
    </w:rPr>
  </w:style>
  <w:style w:type="paragraph" w:styleId="Index1">
    <w:name w:val="index 1"/>
    <w:basedOn w:val="Normal"/>
    <w:semiHidden/>
    <w:qFormat/>
    <w:pPr>
      <w:tabs>
        <w:tab w:val="right" w:pos="4884" w:leader="dot"/>
      </w:tabs>
      <w:ind w:left="240" w:hanging="240"/>
    </w:pPr>
    <w:rPr/>
  </w:style>
  <w:style w:type="paragraph" w:styleId="Index2">
    <w:name w:val="index 2"/>
    <w:basedOn w:val="Normal"/>
    <w:semiHidden/>
    <w:qFormat/>
    <w:pPr>
      <w:tabs>
        <w:tab w:val="right" w:pos="4884" w:leader="dot"/>
      </w:tabs>
      <w:ind w:left="480" w:hanging="240"/>
    </w:pPr>
    <w:rPr/>
  </w:style>
  <w:style w:type="paragraph" w:styleId="Index3">
    <w:name w:val="index 3"/>
    <w:basedOn w:val="Normal"/>
    <w:semiHidden/>
    <w:qFormat/>
    <w:pPr>
      <w:tabs>
        <w:tab w:val="right" w:pos="4884" w:leader="dot"/>
      </w:tabs>
      <w:ind w:left="720" w:hanging="240"/>
    </w:pPr>
    <w:rPr/>
  </w:style>
  <w:style w:type="paragraph" w:styleId="Index4">
    <w:name w:val="index 4"/>
    <w:basedOn w:val="Normal"/>
    <w:semiHidden/>
    <w:qFormat/>
    <w:pPr>
      <w:tabs>
        <w:tab w:val="right" w:pos="4884" w:leader="dot"/>
      </w:tabs>
      <w:ind w:left="960" w:hanging="240"/>
    </w:pPr>
    <w:rPr/>
  </w:style>
  <w:style w:type="paragraph" w:styleId="Index5">
    <w:name w:val="index 5"/>
    <w:basedOn w:val="Normal"/>
    <w:semiHidden/>
    <w:qFormat/>
    <w:pPr>
      <w:tabs>
        <w:tab w:val="right" w:pos="4884" w:leader="dot"/>
      </w:tabs>
      <w:ind w:left="1200" w:hanging="240"/>
    </w:pPr>
    <w:rPr/>
  </w:style>
  <w:style w:type="paragraph" w:styleId="Index6">
    <w:name w:val="index 6"/>
    <w:basedOn w:val="Normal"/>
    <w:semiHidden/>
    <w:qFormat/>
    <w:pPr>
      <w:tabs>
        <w:tab w:val="right" w:pos="4884" w:leader="dot"/>
      </w:tabs>
      <w:ind w:left="1440" w:hanging="240"/>
    </w:pPr>
    <w:rPr/>
  </w:style>
  <w:style w:type="paragraph" w:styleId="Index7">
    <w:name w:val="index 7"/>
    <w:basedOn w:val="Normal"/>
    <w:semiHidden/>
    <w:qFormat/>
    <w:pPr>
      <w:tabs>
        <w:tab w:val="right" w:pos="4884" w:leader="dot"/>
      </w:tabs>
      <w:ind w:left="1680" w:hanging="240"/>
    </w:pPr>
    <w:rPr/>
  </w:style>
  <w:style w:type="paragraph" w:styleId="Index8">
    <w:name w:val="index 8"/>
    <w:basedOn w:val="Normal"/>
    <w:semiHidden/>
    <w:qFormat/>
    <w:pPr>
      <w:tabs>
        <w:tab w:val="right" w:pos="4884" w:leader="dot"/>
      </w:tabs>
      <w:ind w:left="1920" w:hanging="240"/>
    </w:pPr>
    <w:rPr/>
  </w:style>
  <w:style w:type="paragraph" w:styleId="Index9">
    <w:name w:val="index 9"/>
    <w:basedOn w:val="Normal"/>
    <w:semiHidden/>
    <w:qFormat/>
    <w:pPr>
      <w:tabs>
        <w:tab w:val="right" w:pos="4884" w:leader="dot"/>
      </w:tabs>
      <w:ind w:left="2160" w:hanging="240"/>
    </w:pPr>
    <w:rPr/>
  </w:style>
  <w:style w:type="paragraph" w:styleId="Indexheading">
    <w:name w:val="index heading"/>
    <w:basedOn w:val="Normal"/>
    <w:semiHidden/>
    <w:qFormat/>
    <w:pPr/>
    <w:rPr/>
  </w:style>
  <w:style w:type="paragraph" w:styleId="Tableoffigures">
    <w:name w:val="table of figures"/>
    <w:basedOn w:val="Normal"/>
    <w:semiHidden/>
    <w:qFormat/>
    <w:pPr>
      <w:tabs>
        <w:tab w:val="right" w:pos="9639" w:leader="dot"/>
      </w:tabs>
      <w:ind w:left="480" w:hanging="480"/>
    </w:pPr>
    <w:rPr/>
  </w:style>
  <w:style w:type="paragraph" w:styleId="Annotationtext">
    <w:name w:val="annotation text"/>
    <w:basedOn w:val="Normal"/>
    <w:semiHidden/>
    <w:qFormat/>
    <w:rsid w:val="00b46629"/>
    <w:pPr/>
    <w:rPr>
      <w:sz w:val="20"/>
    </w:rPr>
  </w:style>
  <w:style w:type="paragraph" w:styleId="Annotationsubject">
    <w:name w:val="annotation subject"/>
    <w:basedOn w:val="Annotationtext"/>
    <w:semiHidden/>
    <w:qFormat/>
    <w:rsid w:val="00b46629"/>
    <w:pPr/>
    <w:rPr>
      <w:b/>
      <w:bCs/>
    </w:rPr>
  </w:style>
  <w:style w:type="paragraph" w:styleId="BalloonText">
    <w:name w:val="Balloon Text"/>
    <w:basedOn w:val="Normal"/>
    <w:semiHidden/>
    <w:qFormat/>
    <w:rsid w:val="00b46629"/>
    <w:pPr/>
    <w:rPr>
      <w:rFonts w:ascii="Tahoma" w:hAnsi="Tahoma" w:cs="Tahoma"/>
      <w:sz w:val="16"/>
      <w:szCs w:val="16"/>
    </w:rPr>
  </w:style>
  <w:style w:type="paragraph" w:styleId="StyleTitre110pt" w:customStyle="1">
    <w:name w:val="Style Titre 1 + 10 pt"/>
    <w:basedOn w:val="1"/>
    <w:autoRedefine/>
    <w:qFormat/>
    <w:rsid w:val="00e8457b"/>
    <w:pPr>
      <w:numPr>
        <w:ilvl w:val="0"/>
        <w:numId w:val="0"/>
      </w:numPr>
    </w:pPr>
    <w:rPr>
      <w:bCs/>
      <w:sz w:val="20"/>
    </w:rPr>
  </w:style>
  <w:style w:type="paragraph" w:styleId="NormalVerdana" w:customStyle="1">
    <w:name w:val="Normal + Verdana"/>
    <w:basedOn w:val="Normal"/>
    <w:qFormat/>
    <w:rsid w:val="00d72593"/>
    <w:pPr>
      <w:jc w:val="center"/>
      <w:textAlignment w:val="auto"/>
    </w:pPr>
    <w:rPr>
      <w:rFonts w:ascii="Verdana" w:hAnsi="Verdana"/>
      <w:sz w:val="20"/>
    </w:rPr>
  </w:style>
  <w:style w:type="paragraph" w:styleId="NormalWeb">
    <w:name w:val="Normal (Web)"/>
    <w:basedOn w:val="Normal"/>
    <w:uiPriority w:val="99"/>
    <w:unhideWhenUsed/>
    <w:qFormat/>
    <w:rsid w:val="004a029f"/>
    <w:pPr>
      <w:overflowPunct w:val="false"/>
      <w:spacing w:beforeAutospacing="1" w:afterAutospacing="1"/>
      <w:textAlignment w:val="auto"/>
    </w:pPr>
    <w:rPr>
      <w:rFonts w:ascii="Times New Roman" w:hAnsi="Times New Roman"/>
      <w:szCs w:val="24"/>
      <w:lang w:val="ru-RU" w:eastAsia="ru-RU"/>
    </w:rPr>
  </w:style>
  <w:style w:type="paragraph" w:styleId="NoSpacing">
    <w:name w:val="No Spacing"/>
    <w:link w:val="af1"/>
    <w:uiPriority w:val="1"/>
    <w:qFormat/>
    <w:rsid w:val="006b63cc"/>
    <w:pPr>
      <w:widowControl/>
      <w:bidi w:val="0"/>
      <w:jc w:val="left"/>
    </w:pPr>
    <w:rPr>
      <w:rFonts w:ascii="Calibri" w:hAnsi="Calibri" w:eastAsia="MS Mincho" w:cs="Arial"/>
      <w:color w:val="auto"/>
      <w:sz w:val="22"/>
      <w:szCs w:val="22"/>
      <w:lang w:val="en-US" w:eastAsia="ja-JP" w:bidi="ar-SA"/>
    </w:rPr>
  </w:style>
  <w:style w:type="paragraph" w:styleId="Style16">
    <w:name w:val="Содержимое таблицы"/>
    <w:basedOn w:val="Normal"/>
    <w:qFormat/>
    <w:pPr/>
    <w:rPr/>
  </w:style>
  <w:style w:type="paragraph" w:styleId="Style17">
    <w:name w:val="Заголовок таблицы"/>
    <w:basedOn w:val="Style16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rsid w:val="005b6bf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FFFE9-A052-4E6B-BA78-36FA3062F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LibreOffice/5.1.6.2$Linux_X86_64 LibreOffice_project/10m0$Build-2</Application>
  <Pages>4</Pages>
  <Words>351</Words>
  <Characters>2691</Characters>
  <CharactersWithSpaces>3250</CharactersWithSpaces>
  <Paragraphs>74</Paragraphs>
  <Company>RENAULT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2018-04-20T14:18:00Z</dcterms:created>
  <dc:creator>RENAULT</dc:creator>
  <dc:description/>
  <dc:language>ru-RU</dc:language>
  <cp:lastModifiedBy/>
  <cp:lastPrinted>2011-05-13T14:03:00Z</cp:lastPrinted>
  <dcterms:modified xsi:type="dcterms:W3CDTF">2018-06-20T20:50:45Z</dcterms:modified>
  <cp:revision>5</cp:revision>
  <dc:subject/>
  <dc:title>Cahier des charges 2002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RENAULT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  <property fmtid="{D5CDD505-2E9C-101B-9397-08002B2CF9AE}" pid="9" name="_NewReviewCycle">
    <vt:lpwstr/>
  </property>
</Properties>
</file>