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7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841"/>
        <w:gridCol w:w="1409"/>
        <w:gridCol w:w="2247"/>
      </w:tblGrid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ind w:left="-724" w:firstLine="724"/>
            </w:pPr>
            <w:r w:rsidRPr="00343EC7">
              <w:t>№ п/п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Наименование параметра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rPr>
                <w:w w:val="94"/>
              </w:rPr>
              <w:t xml:space="preserve">Ед. </w:t>
            </w:r>
            <w:r w:rsidRPr="00343EC7">
              <w:t>изм.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Значение параметра</w:t>
            </w: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1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Тип системы смыва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2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Тип монтажа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3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Материал резьбовых соединений и переходников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4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Предпочтительный цвет декоративной и съемной панели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5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Тип управления смывом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6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Расстояние опознавания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см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7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Напряжение питания от сети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В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8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Напряжение резервного питания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В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9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Диапазон рабочих температур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̊С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10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Диаметр входящей и выходящей труб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Дюйм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11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Переходники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Дюйм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12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Рабочее давление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МПа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13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 xml:space="preserve">Класс защиты 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  <w:lang w:val="en-US"/>
              </w:rPr>
              <w:t>IP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14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Внешний размер декоративной панели</w:t>
            </w: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Высота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Ширина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Толщина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</w:t>
            </w:r>
            <w:r w:rsidRPr="00343EC7">
              <w:t>15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Внутренний размер декоративной панели</w:t>
            </w: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Высота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Ширина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Толщина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>
              <w:t xml:space="preserve">  </w:t>
            </w:r>
            <w:r w:rsidRPr="00343EC7">
              <w:t>16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Размер встраиваемого короба</w:t>
            </w: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Высота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Ширина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Глубина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мм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17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Установочный блок с клапаном подачи воды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18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Внешняя съемная панель с сенсорным фотоэлементом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19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Патрубок для внешней подводки воды к писсуару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20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Переходники для монтажа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21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Декоративные фартуки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22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Присоска для извлечения съемной панели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23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Инфракрасный сенсорный фотоэлемент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24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Регулировка объема подачи воды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25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 xml:space="preserve">Водонепроницаемое, </w:t>
            </w:r>
            <w:proofErr w:type="spellStart"/>
            <w:r w:rsidRPr="00343EC7">
              <w:t>вандалозащитное</w:t>
            </w:r>
            <w:proofErr w:type="spellEnd"/>
            <w:r w:rsidRPr="00343EC7">
              <w:t xml:space="preserve"> окошко сенсорного фотоэлемента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26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Работа от аккумуляторных батарей 6V типа</w:t>
            </w:r>
            <w:r>
              <w:t xml:space="preserve"> АА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  <w:rPr>
                <w:w w:val="94"/>
              </w:rPr>
            </w:pPr>
            <w:r w:rsidRPr="00343EC7">
              <w:rPr>
                <w:w w:val="94"/>
              </w:rPr>
              <w:t>-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D4D" w:rsidRPr="00343EC7" w:rsidRDefault="009B5D4D" w:rsidP="009B5D4D">
            <w:pPr>
              <w:pStyle w:val="a3"/>
            </w:pPr>
          </w:p>
        </w:tc>
      </w:tr>
      <w:tr w:rsidR="009B5D4D" w:rsidRPr="00343EC7" w:rsidTr="009B5D4D">
        <w:trPr>
          <w:trHeight w:val="3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27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D4D" w:rsidRPr="00343EC7" w:rsidRDefault="009B5D4D" w:rsidP="009B5D4D">
            <w:pPr>
              <w:pStyle w:val="a3"/>
            </w:pPr>
            <w:r w:rsidRPr="00343EC7">
              <w:t>Товар соответствует требованиям технического регламента таможенного союза ТР ТС 020/2011 от 09.12.2011 г. «Электромагнитная совместимость технических средств».</w:t>
            </w:r>
          </w:p>
        </w:tc>
      </w:tr>
    </w:tbl>
    <w:p w:rsidR="009B5D4D" w:rsidRPr="00343EC7" w:rsidRDefault="009B5D4D" w:rsidP="009B5D4D">
      <w:pPr>
        <w:pStyle w:val="a3"/>
        <w:ind w:left="709"/>
      </w:pPr>
    </w:p>
    <w:p w:rsidR="005930C3" w:rsidRDefault="005930C3">
      <w:bookmarkStart w:id="0" w:name="_GoBack"/>
      <w:bookmarkEnd w:id="0"/>
    </w:p>
    <w:sectPr w:rsidR="005930C3" w:rsidSect="009B5D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9"/>
    <w:rsid w:val="005930C3"/>
    <w:rsid w:val="009B5D4D"/>
    <w:rsid w:val="00D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D8AF"/>
  <w15:chartTrackingRefBased/>
  <w15:docId w15:val="{2F3BB1E5-681E-411B-A6B7-65E716F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5D4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9B5D4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2019-02-20T14:46:00Z</dcterms:created>
  <dcterms:modified xsi:type="dcterms:W3CDTF">2019-02-20T14:48:00Z</dcterms:modified>
</cp:coreProperties>
</file>