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Напряжение питания 176-264 В (AC), 50-60 Гц </w:t>
      </w:r>
    </w:p>
    <w:p>
      <w:pPr>
        <w:pStyle w:val="Normal"/>
        <w:rPr/>
      </w:pPr>
      <w:r>
        <w:rPr/>
        <w:t xml:space="preserve">Потребляемая мощность50 Вт </w:t>
      </w:r>
    </w:p>
    <w:p>
      <w:pPr>
        <w:pStyle w:val="Normal"/>
        <w:rPr/>
      </w:pPr>
      <w:r>
        <w:rPr/>
        <w:t xml:space="preserve">Световой поток модуля 6 800 лм </w:t>
      </w:r>
    </w:p>
    <w:p>
      <w:pPr>
        <w:pStyle w:val="Normal"/>
        <w:rPr/>
      </w:pPr>
      <w:r>
        <w:rPr/>
        <w:t xml:space="preserve">Световой поток светильника 5 700 лм </w:t>
      </w:r>
    </w:p>
    <w:p>
      <w:pPr>
        <w:pStyle w:val="Normal"/>
        <w:rPr/>
      </w:pPr>
      <w:r>
        <w:rPr/>
        <w:t xml:space="preserve">Температура свечения 5000 K КСС «Д» косинусная </w:t>
      </w:r>
    </w:p>
    <w:p>
      <w:pPr>
        <w:pStyle w:val="Normal"/>
        <w:rPr/>
      </w:pPr>
      <w:r>
        <w:rPr/>
        <w:t xml:space="preserve">Индекс цветопередачи CRIRa ≥ 75 </w:t>
      </w:r>
    </w:p>
    <w:p>
      <w:pPr>
        <w:pStyle w:val="Normal"/>
        <w:rPr/>
      </w:pPr>
      <w:r>
        <w:rPr/>
        <w:t>Рабочий ресурс 100000 часов.</w:t>
      </w:r>
    </w:p>
    <w:p>
      <w:pPr>
        <w:pStyle w:val="Normal"/>
        <w:rPr/>
      </w:pPr>
      <w:r>
        <w:rPr/>
        <w:t>Гарантия от 5 лет.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2019-03-27T14:38:39Z</dcterms:created>
  <dc:creator/>
  <dc:description/>
  <dc:language>ru-RU</dc:language>
  <cp:lastModifiedBy/>
  <dcterms:modified xsi:type="dcterms:W3CDTF">2019-03-27T14:39:12Z</dcterms:modified>
  <cp:revision>1</cp:revision>
  <dc:subject/>
  <dc:title/>
</cp:coreProperties>
</file>