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10206" w:leader="none"/>
        </w:tabs>
        <w:rPr>
          <w:rStyle w:val="Style14"/>
          <w:sz w:val="16"/>
          <w:lang w:val="en-US"/>
        </w:rPr>
      </w:pPr>
      <w:r>
        <w:rPr/>
      </w:r>
    </w:p>
    <w:p>
      <w:pPr>
        <w:pStyle w:val="Normal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3810635" cy="1270"/>
                <wp:effectExtent l="0" t="0" r="0" b="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2.05pt" to="427.4pt,2.05pt" ID="Line 3" stroked="t" style="position:absolute">
                <v:stroke color="black" weight="190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ТЕХНИЧЕСКОЕ ЗАДАНИЕ</w:t>
      </w:r>
    </w:p>
    <w:p>
      <w:pPr>
        <w:pStyle w:val="Normal"/>
        <w:jc w:val="center"/>
        <w:rPr>
          <w:b/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на поставку баннерной ткани</w:t>
      </w:r>
    </w:p>
    <w:p>
      <w:pPr>
        <w:pStyle w:val="Normal"/>
        <w:jc w:val="center"/>
        <w:rPr>
          <w:b/>
          <w:b/>
          <w:color w:val="000000"/>
          <w:sz w:val="22"/>
        </w:rPr>
      </w:pPr>
      <w:r>
        <w:rPr>
          <w:b/>
          <w:color w:val="000000"/>
          <w:sz w:val="22"/>
        </w:rPr>
      </w:r>
    </w:p>
    <w:tbl>
      <w:tblPr>
        <w:tblW w:w="10392" w:type="dxa"/>
        <w:jc w:val="left"/>
        <w:tblInd w:w="-1021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81"/>
        <w:gridCol w:w="1560"/>
        <w:gridCol w:w="1701"/>
        <w:gridCol w:w="851"/>
        <w:gridCol w:w="1276"/>
        <w:gridCol w:w="1004"/>
        <w:gridCol w:w="1136"/>
        <w:gridCol w:w="831"/>
        <w:gridCol w:w="1451"/>
      </w:tblGrid>
      <w:tr>
        <w:trPr>
          <w:trHeight w:val="723" w:hRule="atLeast"/>
        </w:trPr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Плотность ткани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Плотность нитей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Ширина рулонов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Длина     рулонов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КОЛ-ВО рулонов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Дата поставки, кол-во рулонов</w:t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полуматовый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литой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1000D*1000D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Июль/15 рул., 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Август/10 рул.,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Сентябрь/ 5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Октябрь/5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Ноябрь/8 рул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Декабрь /5 рул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полуматовый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литой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1000D*1000D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Июль/3рул., 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Август/5 рул.,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Сентябрь/ 2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Октябрь/2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Ноябрь/2 рул.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полуматовый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литой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1000D*1000D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Июль/1рул., 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Август/3 рул.,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Сентябрь/ 2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Октябрь/2 рул.</w:t>
            </w:r>
          </w:p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Ноябрь/2 рул.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>
          <w:trHeight w:val="624" w:hRule="atLeast"/>
        </w:trPr>
        <w:tc>
          <w:tcPr>
            <w:tcW w:w="5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Frontlit, антихолод  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или 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  <w:t>GLK X3244М,  усиленный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ламинированный, антихолод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300D*500D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Сентябрь/ 3 рул.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323237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323237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1000D*1000D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ламинированный, антихолод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200D*300D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Август/ 2 рул Сентябрь/ 2 рул.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>
          <w:trHeight w:val="519" w:hRule="atLeast"/>
        </w:trPr>
        <w:tc>
          <w:tcPr>
            <w:tcW w:w="5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Frontlit, антихолод 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или 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  <w:t>DLS X71645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ламинированный, антихолод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300D*500D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Август/3 рул.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323237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323237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7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1000D*1000D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200D*300D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Июль/2 рул. 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матовый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200D*300D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Июль/2 рул. 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>
          <w:trHeight w:val="580" w:hRule="atLeast"/>
        </w:trPr>
        <w:tc>
          <w:tcPr>
            <w:tcW w:w="5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Frontlit Bold!  Матовый 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или</w:t>
            </w:r>
          </w:p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Frontlit Vikuflex, матовый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ламинированный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300D*500D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Июль/2 рул. 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</w:tr>
      <w:tr>
        <w:trPr>
          <w:trHeight w:val="598" w:hRule="atLeast"/>
        </w:trPr>
        <w:tc>
          <w:tcPr>
            <w:tcW w:w="58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200D*300D</w:t>
            </w:r>
          </w:p>
        </w:tc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1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bCs/>
          <w:i/>
          <w:i/>
          <w:sz w:val="22"/>
        </w:rPr>
      </w:pPr>
      <w:r>
        <w:rPr>
          <w:b/>
          <w:bCs/>
          <w:i/>
          <w:sz w:val="22"/>
        </w:rPr>
      </w:r>
    </w:p>
    <w:p>
      <w:pPr>
        <w:pStyle w:val="Normal"/>
        <w:rPr>
          <w:b/>
          <w:b/>
        </w:rPr>
      </w:pPr>
      <w:r>
        <w:rPr>
          <w:b/>
        </w:rPr>
        <w:t>Периодичность и условия поставки:</w:t>
      </w:r>
    </w:p>
    <w:p>
      <w:pPr>
        <w:pStyle w:val="Normal"/>
        <w:rPr/>
      </w:pPr>
      <w:r>
        <w:rPr/>
        <w:t>Отгрузка партиями по спецификация к договору по шаблону</w:t>
      </w:r>
      <w:bookmarkStart w:id="0" w:name="_GoBack"/>
      <w:bookmarkEnd w:id="0"/>
      <w:r>
        <w:rPr/>
        <w:t xml:space="preserve"> Заказчика согласно заявкам Заказчика в период действия договора (1 год). </w:t>
      </w:r>
    </w:p>
    <w:p>
      <w:pPr>
        <w:pStyle w:val="Normal"/>
        <w:rPr/>
      </w:pPr>
      <w:r>
        <w:rPr/>
        <w:t>Отправка товара осуществляется через Транспортную компанию за счет Поставщика.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sz w:val="22"/>
        </w:rPr>
      </w:pPr>
      <w:r>
        <w:rPr>
          <w:b/>
          <w:color w:val="000000"/>
          <w:sz w:val="22"/>
        </w:rPr>
        <w:t xml:space="preserve">1. </w:t>
      </w:r>
      <w:r>
        <w:rPr>
          <w:b/>
          <w:sz w:val="22"/>
        </w:rPr>
        <w:t>Требования к качеству продукции:</w:t>
      </w:r>
    </w:p>
    <w:p>
      <w:pPr>
        <w:pStyle w:val="Normal"/>
        <w:ind w:firstLine="709"/>
        <w:jc w:val="both"/>
        <w:rPr/>
      </w:pPr>
      <w:r>
        <w:rPr>
          <w:sz w:val="22"/>
        </w:rPr>
        <w:t xml:space="preserve">1.1. </w:t>
      </w:r>
      <w:r>
        <w:rPr/>
        <w:t>Качество изготовленной  продукции должно соответствовать ст. 469 Гражданского Кодекса РФ.</w:t>
      </w:r>
    </w:p>
    <w:p>
      <w:pPr>
        <w:pStyle w:val="Normal"/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>1.2. Недопустимые дефекты продукции:</w:t>
      </w:r>
    </w:p>
    <w:p>
      <w:pPr>
        <w:pStyle w:val="Normal"/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>- в  продукции не допускаются дефекты, приводящие к потере товарного вида или затрудняющие использование ее по назначению.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color w:val="000000"/>
          <w:sz w:val="22"/>
        </w:rPr>
      </w:pPr>
      <w:r>
        <w:rPr>
          <w:b/>
          <w:color w:val="000000"/>
          <w:sz w:val="22"/>
        </w:rPr>
        <w:t>2. Требования к гарантийным обязательствам: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Поставщик предоставляет Покупателю гарантию качества не менее </w:t>
      </w:r>
      <w:r>
        <w:rPr>
          <w:sz w:val="22"/>
          <w:szCs w:val="22"/>
        </w:rPr>
        <w:t xml:space="preserve">12 месяцев </w:t>
      </w:r>
      <w:r>
        <w:rPr>
          <w:color w:val="000000"/>
          <w:sz w:val="22"/>
          <w:szCs w:val="22"/>
        </w:rPr>
        <w:t>с момента приемки продукции на складе Покупателя.</w:t>
      </w:r>
    </w:p>
    <w:p>
      <w:pPr>
        <w:sectPr>
          <w:type w:val="nextPage"/>
          <w:pgSz w:w="11906" w:h="16838"/>
          <w:pgMar w:left="1701" w:right="851" w:header="0" w:top="709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ОБЩЕСТВО С ОГРАНИЧЕННОЙ ОТВЕТСТВЕННОСТЬЮ «ТЕЛЕСЕТЬ»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240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d5c0a"/>
    <w:rPr/>
  </w:style>
  <w:style w:type="character" w:styleId="Strong">
    <w:name w:val="Strong"/>
    <w:uiPriority w:val="22"/>
    <w:qFormat/>
    <w:rsid w:val="001d5c0a"/>
    <w:rPr>
      <w:b/>
      <w:bCs/>
    </w:rPr>
  </w:style>
  <w:style w:type="character" w:styleId="Style14">
    <w:name w:val="Интернет-ссылка"/>
    <w:uiPriority w:val="99"/>
    <w:unhideWhenUsed/>
    <w:rsid w:val="00091dfd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3853a4"/>
    <w:rPr>
      <w:rFonts w:ascii="Courier New" w:hAnsi="Courier New" w:cs="Courier New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16"/>
      <w:szCs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16"/>
    </w:rPr>
  </w:style>
  <w:style w:type="character" w:styleId="ListLabel10">
    <w:name w:val="ListLabel 10"/>
    <w:qFormat/>
    <w:rPr>
      <w:sz w:val="16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qFormat/>
    <w:rsid w:val="00901146"/>
    <w:pPr>
      <w:spacing w:lineRule="auto" w:line="360"/>
      <w:ind w:left="7353" w:right="-161" w:hanging="0"/>
      <w:jc w:val="center"/>
    </w:pPr>
    <w:rPr>
      <w:rFonts w:ascii="Georgia" w:hAnsi="Georgia" w:eastAsia="Arial Unicode MS"/>
      <w:spacing w:val="166"/>
      <w:sz w:val="18"/>
      <w:szCs w:val="18"/>
    </w:rPr>
  </w:style>
  <w:style w:type="paragraph" w:styleId="BalloonText">
    <w:name w:val="Balloon Text"/>
    <w:basedOn w:val="Normal"/>
    <w:semiHidden/>
    <w:qFormat/>
    <w:rsid w:val="0055767d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rsid w:val="00bb2e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bb2e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1e4668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96739b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3853a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2" w:customStyle="1">
    <w:name w:val="Таблица текст"/>
    <w:basedOn w:val="Normal"/>
    <w:qFormat/>
    <w:rsid w:val="00721888"/>
    <w:pPr>
      <w:spacing w:before="40" w:after="40"/>
      <w:ind w:left="57" w:right="57" w:hanging="0"/>
    </w:pPr>
    <w:rPr>
      <w:szCs w:val="20"/>
    </w:rPr>
  </w:style>
  <w:style w:type="paragraph" w:styleId="Standard" w:customStyle="1">
    <w:name w:val="Standard"/>
    <w:qFormat/>
    <w:rsid w:val="00a87ebd"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00000A"/>
      <w:kern w:val="0"/>
      <w:sz w:val="24"/>
      <w:szCs w:val="24"/>
      <w:lang w:eastAsia="zh-CN" w:bidi="hi-IN" w:val="ru-RU"/>
    </w:rPr>
  </w:style>
  <w:style w:type="paragraph" w:styleId="Msonormalmailrucssattributepostfix" w:customStyle="1">
    <w:name w:val="msonormal_mailru_css_attribute_postfix"/>
    <w:basedOn w:val="Normal"/>
    <w:uiPriority w:val="99"/>
    <w:qFormat/>
    <w:rsid w:val="003d79cf"/>
    <w:pPr>
      <w:spacing w:beforeAutospacing="1" w:afterAutospacing="1"/>
    </w:pPr>
    <w:rPr>
      <w:rFonts w:eastAsia="Calibri" w:eastAsia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47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4A4E-DA74-449D-B38D-0BBA5537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АЭТС.dot</Template>
  <TotalTime>82</TotalTime>
  <Application>LibreOffice/6.2.2.2$Windows_x86 LibreOffice_project/2b840030fec2aae0fd2658d8d4f9548af4e3518d</Application>
  <Pages>3</Pages>
  <Words>283</Words>
  <Characters>1751</Characters>
  <CharactersWithSpaces>1923</CharactersWithSpaces>
  <Paragraphs>133</Paragraphs>
  <Company>Телесеть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2019-04-15T07:02:00Z</dcterms:created>
  <dc:creator>Private</dc:creator>
  <dc:description/>
  <dc:language>ru-RU</dc:language>
  <cp:lastModifiedBy/>
  <cp:lastPrinted>2019-06-04T11:29:00Z</cp:lastPrinted>
  <dcterms:modified xsi:type="dcterms:W3CDTF">2019-06-28T19:01:53Z</dcterms:modified>
  <cp:revision>8</cp:revision>
  <dc:subject/>
  <dc:title>Закрытое акционерное общество "Телесеть"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Телесеть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