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C6" w:rsidRPr="000078CF" w:rsidRDefault="00E71BC6" w:rsidP="00E71BC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C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E71BC6" w:rsidRPr="008110A7" w:rsidRDefault="00E71BC6" w:rsidP="00E71BC6">
      <w:pPr>
        <w:pStyle w:val="Iacaaiea"/>
        <w:spacing w:before="0" w:line="240" w:lineRule="auto"/>
        <w:rPr>
          <w:sz w:val="24"/>
          <w:szCs w:val="24"/>
        </w:rPr>
      </w:pPr>
      <w:r w:rsidRPr="00C51212">
        <w:rPr>
          <w:b w:val="0"/>
          <w:i/>
          <w:sz w:val="24"/>
          <w:szCs w:val="24"/>
        </w:rPr>
        <w:t xml:space="preserve">на поставку коммутационного оборудования </w:t>
      </w:r>
    </w:p>
    <w:tbl>
      <w:tblPr>
        <w:tblW w:w="10181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7132"/>
        <w:gridCol w:w="2100"/>
      </w:tblGrid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2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, их параметры, товарный знак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количество.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Наличие, соответствие</w:t>
            </w:r>
          </w:p>
          <w:p w:rsidR="00E71BC6" w:rsidRPr="000078CF" w:rsidRDefault="00E71BC6" w:rsidP="00A8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или величина параметров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32" w:type="dxa"/>
            <w:gridSpan w:val="2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Коммутатор доступа 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5731-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00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(или эквивалент) – 7 штук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Монтаж в телекоммуникационную стойку 19’’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Высота посадочного места, U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портов 10/100/1000Base-T RJ-45 с поддержкой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+,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Количество портов 10GE SFP+,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Консольный порт - форм-фактор RJ-45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Выделенный USB порт для подключения внешних накопителей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ind w:firstLine="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функциональности стека на портах GE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ind w:firstLine="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Максимальная пропускная способность (скорость коммутации), Гбит/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ind w:firstLine="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672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Максимальная производительность маршрутизации, пакетов/секунду;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250 000 000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блок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питания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подключения дополнительного блока питания, </w:t>
            </w:r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резервирования 1+1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132" w:type="dxa"/>
          </w:tcPr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не менее 16000 MAC адресов.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функционала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L2: 4094 VLAN, STP, RSTP, MSTP, VBST, BPDU protection, Root protection, Loop protection. 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VLAN assignment based on MAC addresses.  </w:t>
            </w:r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голосовой</w:t>
            </w:r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VLAN, Jumbo frames, Guest VLAN, IEEE 802.1ad (Q-in-Q), GARP, VCMP, MAC Flapping detection, Link aggregation, ITU.T G.8032, RRPP, ERPS, SEP (Smart Ethernet Protection).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функционала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L3: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8000 IPv4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2000 IPv6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префиксов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RIPv1 / v2, OSPF, OSPFv3, ISIS, ISISv6, IPv4/IPv6 dual stack, VRRP.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мультикаста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1022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адресов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IPv4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496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адресов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IPv6 multicast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IGMP-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прокси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IGMP snooping, MSDP, PIM DM, PIM SM, IGMPv1 / v2 / v3, multicast VLAN replication;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ACL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IPv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ARP.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формирования входного и выходного трафика и ограничение трафика на основе VLAN, поддержка алгоритмов очередей: DRR, SP и DRR+SP.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 помощью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Telnet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SNMPv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RADIUS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HWTACACS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authentication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управления через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функции DHCP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Snooping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управления доступом к сети через порт в соответствии со стандартом IEEE 802.1x.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Блок питания,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Монтажный комплект,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Кабель консоли управления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9 длиной не менее 3 метров,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32" w:type="dxa"/>
            <w:gridSpan w:val="2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Коммутатор доступа 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5731-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00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(или эквивалент) – 4 штуки.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Монтаж в телекоммуникационную стойку 19’’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Высота посадочного места, U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портов 10/100/1000Base-T RJ-45 с поддержкой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+, шт.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ind w:firstLine="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48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Количество портов 10GE SFP+,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Консольный порт - форм-фактор RJ-45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Выделенный USB порт для подключения внешних накопителей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ind w:firstLine="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функциональности стека на портах GE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Максимальная пропускная способность (скорость коммутации), Гбит/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672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Максимальная производительность маршрутизации, пакетов/секунду.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250 000 000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блок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питания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подключения дополнительного блока питания </w:t>
            </w:r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резервирования 1+1.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132" w:type="dxa"/>
          </w:tcPr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не менее 16000 MAC адресов.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функционала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L2: 4094 VLAN, STP, RSTP, MSTP, VBST, BPDU protection, Root protection, Loop protection. 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VLAN assignment based on MAC addresses.  </w:t>
            </w:r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голосовой</w:t>
            </w:r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VLAN, Jumbo frames, Guest VLAN, IEEE 802.1ad (Q-in-Q), GARP, VCMP, MAC Flapping detection, Link aggregation, ITU.T G.8032, RRPP, ERPS, SEP (Smart Ethernet Protection).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функционала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L3: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8000 IPv4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2000 IPv6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префиксов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RIPv1 / v2, OSPF, OSPFv3, ISIS, ISISv6, IPv4/IPv6 dual stack, VRRP.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мультикаста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1022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адресов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IPv4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496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адресов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IPv6 multicast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IGMP-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прокси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IGMP snooping, MSDP, PIM DM, PIM SM, IGMPv1 / v2 / v3, multicast VLAN replication;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ACL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IPv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ARP.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формирования входного и выходного трафика и ограничение трафика на основе VLAN, поддержка алгоритма очередей DRR, SP и DRR+SP;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 помощью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Telnet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SNMPv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RADIUS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HWTACACS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authentication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управления через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функции DHCP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Snooping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198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управления доступом к сети через порт в соответствии со стандартом IEEE 802.1x.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Блок питания,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2.13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Монтажный комплект,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2.14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Кабель консоли управления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9 длиной не менее 3 метров,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32" w:type="dxa"/>
            <w:gridSpan w:val="2"/>
            <w:vAlign w:val="center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Коммутатор доступа 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6730-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00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(или эквивалент) – 3 штуки.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Монтаж в телекоммуникационную стойку 19’’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Высота посадочного места, U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0078CF">
              <w:rPr>
                <w:sz w:val="24"/>
                <w:szCs w:val="24"/>
              </w:rPr>
              <w:t>Количество портов 10GE SFPP, шт.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0078CF">
              <w:rPr>
                <w:sz w:val="24"/>
                <w:szCs w:val="24"/>
              </w:rPr>
              <w:t>Количество портов 10GE QSFP, шт.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Консольный порт - форм-фактор RJ-45.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132" w:type="dxa"/>
            <w:vAlign w:val="center"/>
          </w:tcPr>
          <w:p w:rsidR="00E71BC6" w:rsidRPr="000078CF" w:rsidRDefault="00E71BC6" w:rsidP="00A839FC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0078CF">
              <w:rPr>
                <w:sz w:val="24"/>
                <w:szCs w:val="24"/>
              </w:rPr>
              <w:t>Выделенный порт управления форм-фактором 1GE RJ-45.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Выделенный USB порт для подключения внешних накопителей.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ind w:firstLine="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пропускная способность (скорость коммутации), </w:t>
            </w:r>
            <w:proofErr w:type="spellStart"/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1,2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Максимальная производительность маршрутизации, пакетов/секунду.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480 000 000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блок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питания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подключения дополнительного блока питания, </w:t>
            </w:r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резервирования 1+1.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132" w:type="dxa"/>
          </w:tcPr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функционала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MAC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128000 MAC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адресов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Automatic learning/aging MAC, Static, dynamic, black hole MAC. 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функционала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L2: 4000 VLAN, STP, RSTP, MSTP, BPDU protection, root protection, loop protection, Link aggregation LACP, Load balancing among links of an Eth-Trunk,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QinQ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Selective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QinQ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функционала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L3: IPv4 and IPv6 static routes, RIPv1, RIPv2, and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RIPng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OSPFv2 and OSPFv3, IS-IS (IPv4) and IS-IS (IPv6), BGP and BGP4+, Policy-based routing.</w:t>
            </w:r>
          </w:p>
          <w:p w:rsidR="00E71BC6" w:rsidRPr="004B2E9D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оддержка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мультикаста</w:t>
            </w:r>
            <w:proofErr w:type="spellEnd"/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IGMP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прокси</w:t>
            </w:r>
            <w:proofErr w:type="spellEnd"/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IGMP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snooping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MSDP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PIM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PIM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IGMPv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/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/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RPF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оддержка ACL IPv4/v6.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оддержка ARP.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MPLS: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MPLS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MPLS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VPWS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VPLS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MPLS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MPLS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QoS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0" w:right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оддержка качества обслуживания: DRR, SP, DRR+SP.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0" w:right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функционала управления трафиком: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SNMPv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SNMPv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SNMPv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RMON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0" w:right="22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функционала безопасности: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SSHv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2.0,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RADIUS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HWTACACS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802.1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authentication</w:t>
            </w:r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Блок питания,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Монтажный комплект,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Кабель консоли управления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9 длиной не менее 3 метров,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32" w:type="dxa"/>
            <w:gridSpan w:val="2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Маршрутизатор</w:t>
            </w:r>
            <w:proofErr w:type="spellEnd"/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</w:t>
            </w:r>
            <w:r w:rsidRPr="0000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6120</w:t>
            </w:r>
            <w:r w:rsidRPr="0000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(или эквивалент) – 3 штуки.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Монтаж в телекоммуникационную стойку 19’’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Высота посадочного места, U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фиксированных портов 1GE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-45, шт.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ind w:firstLine="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комбо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портов 1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SFP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ind w:firstLine="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Количество портов 10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SFP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+, шт.</w:t>
            </w:r>
          </w:p>
        </w:tc>
        <w:tc>
          <w:tcPr>
            <w:tcW w:w="2100" w:type="dxa"/>
            <w:vAlign w:val="center"/>
          </w:tcPr>
          <w:p w:rsidR="00E71BC6" w:rsidRPr="000078CF" w:rsidRDefault="00E71BC6" w:rsidP="00A839FC">
            <w:pPr>
              <w:keepNext/>
              <w:keepLines/>
              <w:tabs>
                <w:tab w:val="num" w:pos="360"/>
              </w:tabs>
              <w:spacing w:after="0" w:line="240" w:lineRule="auto"/>
              <w:ind w:firstLine="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портов 1000Base-T RJ-45 на дополнительных интерфейсных картах,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132" w:type="dxa"/>
            <w:vAlign w:val="center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Консольный порт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- форм-фактор RJ-45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Консольный</w:t>
            </w:r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порта форм-фактором RJ-45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Количество слотов расширения для подключения внешних интерфейсных карт,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Потребляемая мощность устройства, </w:t>
            </w:r>
            <w:proofErr w:type="gram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Встроенная оперативная память, ГБ.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Встроенная энергонезависимая память, МБ.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512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132" w:type="dxa"/>
          </w:tcPr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протоколов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Spanning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(STP) спецификаций IEEE 802.1d, IEEE 802.1s (RSTP), IEEE 802.1w (MSTP) на L2 портах.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протокола уровня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802.1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802.1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802.3.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функционала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VLAN, super VLAN, MUX VLAN, voice VLAN; dynamic VLAN learning - Generic Attribute Registration Protocol (GVRP).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функционала динамического и статического изучения MAC адресов и конфигурации, ограничители на количество изученных MAC адресов, функционал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anti-MAC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flapping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VPN-подключений: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VPN, GRE VPN, DSVPN, A2A VPN, L2TP VPN.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протоколов динамической маршрутизации для стека IPv4 (RIP/OSPFv2/ISIS/BGP4), стека IPv6 (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RIPng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/OSPFv3/ISISv6/BGP4+), статической маршрутизации, возможности маршрутизации трафика на основе политик, балансировки трафика на основе множества путей с одинаковой стоимостью.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протоколов маршрутизации трафика многоадресной рассылки IGMPv1/ v2/ v3, протоколов IGMP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Snooping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v1/ v2/ v3, PIM-DM, PIM-SM,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PIM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SSM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, MSDP.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функции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зеркалирования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трафика с порта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маршрутизатора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на удаленный сервер, доступный по IP.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функционала безопасности и межсетевого экранирования: Аутентификация - 802.1x, MAC,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AAA, RADIUS, HWTACACS, ACL, ограничение широковещательных штормов,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ARP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ICMP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attack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URPF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Guard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DHCP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snooping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CPCAR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blacklist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tracing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маркировки пакетов по полям 802.1p, DSCP на основе информации IP адреса отправителя и получателя.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ограничения скорости на входящих интерфейсах и исходящих интерфейсах. 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поддержка функции выравнивания скорости передачи за счет буферизации для исходящего трафика.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функции удаленного управления посредством RMON, SNMP v1/v2/v3, HTTP, SSH 1/2; 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функций настройки с использованием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веб-интерфейса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C6" w:rsidRPr="000078CF" w:rsidRDefault="00E71BC6" w:rsidP="00E71BC6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доступа к командной строке </w:t>
            </w:r>
            <w:proofErr w:type="spellStart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маршрутизатора</w:t>
            </w:r>
            <w:proofErr w:type="spellEnd"/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 через встроенный консольный порт и удаленно по протоколу SSH.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Блок питания,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Монтажный комплект,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E71BC6" w:rsidRPr="000078CF" w:rsidTr="00A839FC">
        <w:trPr>
          <w:trHeight w:val="281"/>
          <w:jc w:val="center"/>
        </w:trPr>
        <w:tc>
          <w:tcPr>
            <w:tcW w:w="949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132" w:type="dxa"/>
          </w:tcPr>
          <w:p w:rsidR="00E71BC6" w:rsidRPr="000078CF" w:rsidRDefault="00E71BC6" w:rsidP="00A8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 xml:space="preserve">Кабель консоли управления 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00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9 длиной не менее 3 метров, шт.</w:t>
            </w:r>
          </w:p>
        </w:tc>
        <w:tc>
          <w:tcPr>
            <w:tcW w:w="2100" w:type="dxa"/>
          </w:tcPr>
          <w:p w:rsidR="00E71BC6" w:rsidRPr="000078CF" w:rsidRDefault="00E71BC6" w:rsidP="00A8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</w:tbl>
    <w:p w:rsidR="00E71BC6" w:rsidRPr="000078CF" w:rsidRDefault="00E71BC6" w:rsidP="00E71BC6">
      <w:pPr>
        <w:pStyle w:val="a3"/>
        <w:tabs>
          <w:tab w:val="left" w:pos="10490"/>
        </w:tabs>
        <w:spacing w:after="0" w:line="240" w:lineRule="auto"/>
        <w:ind w:firstLine="0"/>
        <w:rPr>
          <w:sz w:val="24"/>
          <w:szCs w:val="24"/>
          <w:lang w:val="ru-RU"/>
        </w:rPr>
      </w:pPr>
      <w:r w:rsidRPr="000078CF">
        <w:rPr>
          <w:b/>
          <w:sz w:val="24"/>
          <w:szCs w:val="24"/>
        </w:rPr>
        <w:t xml:space="preserve">Требования, предъявляемые к условиям поставки </w:t>
      </w:r>
      <w:r>
        <w:rPr>
          <w:b/>
          <w:sz w:val="24"/>
          <w:szCs w:val="24"/>
          <w:lang w:val="ru-RU"/>
        </w:rPr>
        <w:t>Товара</w:t>
      </w:r>
      <w:r w:rsidRPr="000078CF">
        <w:rPr>
          <w:b/>
          <w:sz w:val="24"/>
          <w:szCs w:val="24"/>
        </w:rPr>
        <w:t>:</w:t>
      </w:r>
    </w:p>
    <w:p w:rsidR="00E71BC6" w:rsidRPr="000078CF" w:rsidRDefault="005E6923" w:rsidP="00E71BC6">
      <w:pPr>
        <w:pStyle w:val="a3"/>
        <w:tabs>
          <w:tab w:val="left" w:pos="8364"/>
        </w:tabs>
        <w:suppressAutoHyphens/>
        <w:spacing w:after="0"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</w:t>
      </w:r>
      <w:r w:rsidR="00E71BC6" w:rsidRPr="000078CF">
        <w:rPr>
          <w:bCs/>
          <w:sz w:val="24"/>
          <w:szCs w:val="24"/>
          <w:lang w:val="ru-RU"/>
        </w:rPr>
        <w:t>.</w:t>
      </w:r>
      <w:r w:rsidR="00E71BC6" w:rsidRPr="000078CF">
        <w:rPr>
          <w:b/>
          <w:bCs/>
          <w:sz w:val="24"/>
          <w:szCs w:val="24"/>
          <w:lang w:val="ru-RU"/>
        </w:rPr>
        <w:t xml:space="preserve"> </w:t>
      </w:r>
      <w:r w:rsidR="00E71BC6" w:rsidRPr="000078CF">
        <w:rPr>
          <w:b/>
          <w:bCs/>
          <w:sz w:val="24"/>
          <w:szCs w:val="24"/>
        </w:rPr>
        <w:t xml:space="preserve">Срок поставки: </w:t>
      </w:r>
      <w:r w:rsidR="00E71BC6" w:rsidRPr="000078CF">
        <w:rPr>
          <w:bCs/>
          <w:sz w:val="24"/>
          <w:szCs w:val="24"/>
          <w:lang w:val="ru-RU"/>
        </w:rPr>
        <w:t>В</w:t>
      </w:r>
      <w:r w:rsidR="00E71BC6" w:rsidRPr="000078CF">
        <w:rPr>
          <w:bCs/>
          <w:sz w:val="24"/>
          <w:szCs w:val="24"/>
        </w:rPr>
        <w:t xml:space="preserve"> течение </w:t>
      </w:r>
      <w:r>
        <w:rPr>
          <w:bCs/>
          <w:sz w:val="24"/>
          <w:szCs w:val="24"/>
          <w:lang w:val="ru-RU"/>
        </w:rPr>
        <w:t>55</w:t>
      </w:r>
      <w:r w:rsidR="00E71BC6">
        <w:rPr>
          <w:bCs/>
          <w:sz w:val="24"/>
          <w:szCs w:val="24"/>
          <w:lang w:val="ru-RU"/>
        </w:rPr>
        <w:t xml:space="preserve"> (</w:t>
      </w:r>
      <w:r>
        <w:rPr>
          <w:bCs/>
          <w:sz w:val="24"/>
          <w:szCs w:val="24"/>
          <w:lang w:val="ru-RU"/>
        </w:rPr>
        <w:t>Пятидесяти пяти</w:t>
      </w:r>
      <w:r w:rsidR="00E71BC6">
        <w:rPr>
          <w:bCs/>
          <w:sz w:val="24"/>
          <w:szCs w:val="24"/>
          <w:lang w:val="ru-RU"/>
        </w:rPr>
        <w:t>)</w:t>
      </w:r>
      <w:r w:rsidR="00E71BC6" w:rsidRPr="000078CF">
        <w:rPr>
          <w:sz w:val="24"/>
          <w:szCs w:val="24"/>
        </w:rPr>
        <w:t xml:space="preserve"> календарных дней с момента </w:t>
      </w:r>
      <w:r w:rsidR="00E71BC6" w:rsidRPr="000078CF">
        <w:rPr>
          <w:sz w:val="24"/>
          <w:szCs w:val="24"/>
          <w:lang w:val="ru-RU"/>
        </w:rPr>
        <w:t>заключения</w:t>
      </w:r>
      <w:r w:rsidR="00E71BC6" w:rsidRPr="000078CF">
        <w:rPr>
          <w:sz w:val="24"/>
          <w:szCs w:val="24"/>
        </w:rPr>
        <w:t xml:space="preserve"> контракта</w:t>
      </w:r>
      <w:r>
        <w:rPr>
          <w:sz w:val="24"/>
          <w:szCs w:val="24"/>
          <w:lang w:val="ru-RU"/>
        </w:rPr>
        <w:t xml:space="preserve"> поставки</w:t>
      </w:r>
      <w:r w:rsidR="00E71BC6" w:rsidRPr="000078CF">
        <w:rPr>
          <w:sz w:val="24"/>
          <w:szCs w:val="24"/>
        </w:rPr>
        <w:t xml:space="preserve">. Если последний день срока поставки </w:t>
      </w:r>
      <w:r w:rsidR="00E71BC6">
        <w:rPr>
          <w:sz w:val="24"/>
          <w:szCs w:val="24"/>
          <w:lang w:val="ru-RU"/>
        </w:rPr>
        <w:t>Товара</w:t>
      </w:r>
      <w:r w:rsidR="00E71BC6" w:rsidRPr="000078CF">
        <w:rPr>
          <w:sz w:val="24"/>
          <w:szCs w:val="24"/>
        </w:rPr>
        <w:t xml:space="preserve"> совпадает с выходным или праздничным днем, то он переносится на первый рабочий день после выходного или праздничного дня.</w:t>
      </w:r>
    </w:p>
    <w:p w:rsidR="00E71BC6" w:rsidRPr="000078CF" w:rsidRDefault="00E71BC6" w:rsidP="00E71BC6">
      <w:pPr>
        <w:pStyle w:val="a3"/>
        <w:tabs>
          <w:tab w:val="left" w:pos="8364"/>
        </w:tabs>
        <w:suppressAutoHyphens/>
        <w:spacing w:after="0" w:line="240" w:lineRule="auto"/>
        <w:ind w:firstLine="709"/>
        <w:rPr>
          <w:sz w:val="24"/>
          <w:szCs w:val="24"/>
          <w:lang w:val="ru-RU"/>
        </w:rPr>
      </w:pPr>
      <w:r w:rsidRPr="000078CF">
        <w:rPr>
          <w:bCs/>
          <w:sz w:val="24"/>
          <w:szCs w:val="24"/>
          <w:lang w:val="ru-RU"/>
        </w:rPr>
        <w:t xml:space="preserve">3. </w:t>
      </w:r>
      <w:r w:rsidRPr="000078CF">
        <w:rPr>
          <w:bCs/>
          <w:sz w:val="24"/>
          <w:szCs w:val="24"/>
        </w:rPr>
        <w:t xml:space="preserve">Поставляемый </w:t>
      </w:r>
      <w:r w:rsidRPr="000078CF">
        <w:rPr>
          <w:bCs/>
          <w:sz w:val="24"/>
          <w:szCs w:val="24"/>
          <w:lang w:val="ru-RU"/>
        </w:rPr>
        <w:t>т</w:t>
      </w:r>
      <w:proofErr w:type="spellStart"/>
      <w:r w:rsidRPr="000078CF">
        <w:rPr>
          <w:bCs/>
          <w:sz w:val="24"/>
          <w:szCs w:val="24"/>
        </w:rPr>
        <w:t>овар</w:t>
      </w:r>
      <w:proofErr w:type="spellEnd"/>
      <w:r w:rsidRPr="000078CF">
        <w:rPr>
          <w:bCs/>
          <w:sz w:val="24"/>
          <w:szCs w:val="24"/>
        </w:rPr>
        <w:t xml:space="preserve"> должен быть новым (товаром</w:t>
      </w:r>
      <w:r>
        <w:rPr>
          <w:bCs/>
          <w:sz w:val="24"/>
          <w:szCs w:val="24"/>
          <w:lang w:val="ru-RU"/>
        </w:rPr>
        <w:t>,</w:t>
      </w:r>
      <w:r w:rsidRPr="000078CF">
        <w:rPr>
          <w:bCs/>
          <w:sz w:val="24"/>
          <w:szCs w:val="24"/>
        </w:rPr>
        <w:t xml:space="preserve"> который не был в употреблении, в ремонте, в т.ч. который не был восстановлен, не были восставлены потребительские свойства), у которого не была осуществлена замена составных частей, а также укомплектованным в соответствии с техническими паспортами, технической документацией на русском языке, сертифицированным в соответствии с требованиями и в </w:t>
      </w:r>
      <w:r w:rsidRPr="000078CF">
        <w:rPr>
          <w:bCs/>
          <w:sz w:val="24"/>
          <w:szCs w:val="24"/>
        </w:rPr>
        <w:lastRenderedPageBreak/>
        <w:t>случаях установленных законодательством Российской Федерации.</w:t>
      </w:r>
    </w:p>
    <w:p w:rsidR="00E71BC6" w:rsidRPr="000078CF" w:rsidRDefault="00E71BC6" w:rsidP="00E71BC6">
      <w:pPr>
        <w:pStyle w:val="a3"/>
        <w:tabs>
          <w:tab w:val="left" w:pos="8364"/>
        </w:tabs>
        <w:suppressAutoHyphens/>
        <w:spacing w:after="0" w:line="240" w:lineRule="auto"/>
        <w:ind w:firstLine="709"/>
        <w:rPr>
          <w:sz w:val="24"/>
          <w:szCs w:val="24"/>
          <w:lang w:val="ru-RU"/>
        </w:rPr>
      </w:pPr>
      <w:r w:rsidRPr="000078CF">
        <w:rPr>
          <w:sz w:val="24"/>
          <w:szCs w:val="24"/>
          <w:lang w:val="ru-RU"/>
        </w:rPr>
        <w:t>4.</w:t>
      </w:r>
      <w:r w:rsidRPr="000078CF">
        <w:rPr>
          <w:bCs/>
          <w:sz w:val="24"/>
          <w:szCs w:val="24"/>
          <w:lang w:val="ru-RU"/>
        </w:rPr>
        <w:t xml:space="preserve"> </w:t>
      </w:r>
      <w:r w:rsidRPr="000078CF">
        <w:rPr>
          <w:bCs/>
          <w:sz w:val="24"/>
          <w:szCs w:val="24"/>
        </w:rPr>
        <w:t xml:space="preserve">Поставляемый </w:t>
      </w:r>
      <w:r w:rsidRPr="000078CF">
        <w:rPr>
          <w:bCs/>
          <w:sz w:val="24"/>
          <w:szCs w:val="24"/>
          <w:lang w:val="ru-RU"/>
        </w:rPr>
        <w:t>т</w:t>
      </w:r>
      <w:proofErr w:type="spellStart"/>
      <w:r w:rsidRPr="000078CF">
        <w:rPr>
          <w:bCs/>
          <w:sz w:val="24"/>
          <w:szCs w:val="24"/>
        </w:rPr>
        <w:t>овар</w:t>
      </w:r>
      <w:proofErr w:type="spellEnd"/>
      <w:r w:rsidRPr="000078CF">
        <w:rPr>
          <w:bCs/>
          <w:sz w:val="24"/>
          <w:szCs w:val="24"/>
        </w:rPr>
        <w:t xml:space="preserve"> должен обеспечить полную функциональную совместимость, взаимозаменяемость и взаимодействие с оборудованием, находящимся в эксплуатации Заказчика.</w:t>
      </w:r>
    </w:p>
    <w:p w:rsidR="00E71BC6" w:rsidRDefault="00E71BC6" w:rsidP="00E71BC6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78CF">
        <w:rPr>
          <w:rFonts w:ascii="Times New Roman" w:hAnsi="Times New Roman" w:cs="Times New Roman"/>
          <w:sz w:val="24"/>
          <w:szCs w:val="24"/>
        </w:rPr>
        <w:t xml:space="preserve">5. </w:t>
      </w:r>
      <w:r w:rsidRPr="00C16760">
        <w:rPr>
          <w:rFonts w:ascii="Times New Roman" w:hAnsi="Times New Roman" w:cs="Times New Roman"/>
          <w:sz w:val="24"/>
          <w:szCs w:val="24"/>
        </w:rPr>
        <w:t>Срок предоставления гарантии на товар устанавливается заводом – изготовителем и должен составлять не менее 12 месяцев с момента поставки Товара. Гарантия на Товар должна распространяться на все составляющие и комплектующие его части. Предоставление гарантии осуществляется вместе с поставкой Товара. Гарантийный срок на Товар должен соответствовать гарантийным требованиям, предъявляемым к такому виду Товара, и должен подтверждаться документами от производителя (поставщика). В гарантийных документах должны оговариваться условия нарушения гарантии.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760">
        <w:rPr>
          <w:rFonts w:ascii="Times New Roman" w:hAnsi="Times New Roman" w:cs="Times New Roman"/>
          <w:sz w:val="24"/>
          <w:szCs w:val="24"/>
        </w:rPr>
        <w:t>В период действия гарантийного срока Поставщиком осуществляется гарантийное обслуживание Товара без дополнительной оплаты со стороны Заказчика.</w:t>
      </w:r>
    </w:p>
    <w:p w:rsidR="00E71BC6" w:rsidRPr="000078CF" w:rsidRDefault="005E6923" w:rsidP="00E71BC6">
      <w:pPr>
        <w:pStyle w:val="a3"/>
        <w:tabs>
          <w:tab w:val="left" w:pos="8364"/>
        </w:tabs>
        <w:suppressAutoHyphens/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E71BC6" w:rsidRPr="000078CF">
        <w:rPr>
          <w:sz w:val="24"/>
          <w:szCs w:val="24"/>
          <w:lang w:val="ru-RU"/>
        </w:rPr>
        <w:t xml:space="preserve">. </w:t>
      </w:r>
      <w:r w:rsidR="00E71BC6" w:rsidRPr="000078CF">
        <w:rPr>
          <w:sz w:val="24"/>
          <w:szCs w:val="24"/>
        </w:rPr>
        <w:t>Товар должен быть упакован в</w:t>
      </w:r>
      <w:r w:rsidR="00E71BC6" w:rsidRPr="000078CF">
        <w:rPr>
          <w:sz w:val="24"/>
          <w:szCs w:val="24"/>
          <w:lang w:val="ru-RU"/>
        </w:rPr>
        <w:t xml:space="preserve"> заводскую</w:t>
      </w:r>
      <w:r w:rsidR="00E71BC6" w:rsidRPr="000078CF">
        <w:rPr>
          <w:sz w:val="24"/>
          <w:szCs w:val="24"/>
        </w:rPr>
        <w:t xml:space="preserve"> тару (коробки, иную упаковку), которая должна соответствовать данному виду </w:t>
      </w:r>
      <w:r w:rsidR="00E71BC6">
        <w:rPr>
          <w:sz w:val="24"/>
          <w:szCs w:val="24"/>
          <w:lang w:val="ru-RU"/>
        </w:rPr>
        <w:t>Товара</w:t>
      </w:r>
      <w:r w:rsidR="00E71BC6" w:rsidRPr="000078CF">
        <w:rPr>
          <w:sz w:val="24"/>
          <w:szCs w:val="24"/>
        </w:rPr>
        <w:t xml:space="preserve"> и предохранять его от порчи и разрушений в период транспортировки, разгрузки и хранения. На каждую упаковку должен быть нанесен ярлык, содержащий информацию о наименовании, количестве </w:t>
      </w:r>
      <w:r w:rsidR="00E71BC6" w:rsidRPr="000078CF">
        <w:rPr>
          <w:sz w:val="24"/>
          <w:szCs w:val="24"/>
          <w:lang w:val="ru-RU"/>
        </w:rPr>
        <w:t>и</w:t>
      </w:r>
      <w:r w:rsidR="00E71BC6">
        <w:rPr>
          <w:sz w:val="24"/>
          <w:szCs w:val="24"/>
          <w:lang w:val="ru-RU"/>
        </w:rPr>
        <w:t xml:space="preserve"> наименования</w:t>
      </w:r>
      <w:r w:rsidR="00E71BC6" w:rsidRPr="000078CF">
        <w:rPr>
          <w:sz w:val="24"/>
          <w:szCs w:val="24"/>
          <w:lang w:val="ru-RU"/>
        </w:rPr>
        <w:t xml:space="preserve"> стран</w:t>
      </w:r>
      <w:r w:rsidR="00E71BC6">
        <w:rPr>
          <w:sz w:val="24"/>
          <w:szCs w:val="24"/>
          <w:lang w:val="ru-RU"/>
        </w:rPr>
        <w:t>ы</w:t>
      </w:r>
      <w:r w:rsidR="00E71BC6" w:rsidRPr="000078CF">
        <w:rPr>
          <w:sz w:val="24"/>
          <w:szCs w:val="24"/>
          <w:lang w:val="ru-RU"/>
        </w:rPr>
        <w:t xml:space="preserve"> происхождения </w:t>
      </w:r>
      <w:r w:rsidR="00E71BC6">
        <w:rPr>
          <w:sz w:val="24"/>
          <w:szCs w:val="24"/>
          <w:lang w:val="ru-RU"/>
        </w:rPr>
        <w:t>Товара</w:t>
      </w:r>
      <w:r w:rsidR="00E71BC6" w:rsidRPr="000078CF">
        <w:rPr>
          <w:sz w:val="24"/>
          <w:szCs w:val="24"/>
          <w:lang w:val="ru-RU"/>
        </w:rPr>
        <w:t>.</w:t>
      </w:r>
      <w:r w:rsidR="00E71BC6" w:rsidRPr="000078CF">
        <w:rPr>
          <w:sz w:val="24"/>
          <w:szCs w:val="24"/>
        </w:rPr>
        <w:t xml:space="preserve"> Нарушение упаковки может допускаться исключительно для проверки качества и отсутствия повреждения </w:t>
      </w:r>
      <w:r w:rsidR="00E71BC6">
        <w:rPr>
          <w:sz w:val="24"/>
          <w:szCs w:val="24"/>
          <w:lang w:val="ru-RU"/>
        </w:rPr>
        <w:t>Товара</w:t>
      </w:r>
      <w:r w:rsidR="00E71BC6" w:rsidRPr="000078CF">
        <w:rPr>
          <w:sz w:val="24"/>
          <w:szCs w:val="24"/>
        </w:rPr>
        <w:t>.</w:t>
      </w:r>
    </w:p>
    <w:p w:rsidR="00E71BC6" w:rsidRDefault="005E6923" w:rsidP="00E71BC6">
      <w:pPr>
        <w:pStyle w:val="a3"/>
        <w:tabs>
          <w:tab w:val="left" w:pos="8364"/>
        </w:tabs>
        <w:suppressAutoHyphens/>
        <w:spacing w:after="0" w:line="240" w:lineRule="auto"/>
        <w:ind w:firstLine="709"/>
        <w:rPr>
          <w:spacing w:val="-2"/>
          <w:sz w:val="24"/>
          <w:szCs w:val="24"/>
        </w:rPr>
      </w:pPr>
      <w:r>
        <w:rPr>
          <w:spacing w:val="3"/>
          <w:sz w:val="24"/>
          <w:szCs w:val="24"/>
          <w:lang w:val="ru-RU"/>
        </w:rPr>
        <w:t>7</w:t>
      </w:r>
      <w:r w:rsidR="00E71BC6" w:rsidRPr="000078CF">
        <w:rPr>
          <w:spacing w:val="3"/>
          <w:sz w:val="24"/>
          <w:szCs w:val="24"/>
          <w:lang w:val="ru-RU"/>
        </w:rPr>
        <w:t xml:space="preserve">. </w:t>
      </w:r>
      <w:r w:rsidR="00E71BC6" w:rsidRPr="000078CF">
        <w:rPr>
          <w:spacing w:val="3"/>
          <w:sz w:val="24"/>
          <w:szCs w:val="24"/>
        </w:rPr>
        <w:t xml:space="preserve">Поставщик гарантирует, что </w:t>
      </w:r>
      <w:r w:rsidR="00E71BC6" w:rsidRPr="000078CF">
        <w:rPr>
          <w:spacing w:val="3"/>
          <w:sz w:val="24"/>
          <w:szCs w:val="24"/>
          <w:lang w:val="ru-RU"/>
        </w:rPr>
        <w:t>т</w:t>
      </w:r>
      <w:proofErr w:type="spellStart"/>
      <w:r w:rsidR="00E71BC6" w:rsidRPr="000078CF">
        <w:rPr>
          <w:spacing w:val="3"/>
          <w:sz w:val="24"/>
          <w:szCs w:val="24"/>
        </w:rPr>
        <w:t>овар</w:t>
      </w:r>
      <w:proofErr w:type="spellEnd"/>
      <w:r w:rsidR="00E71BC6" w:rsidRPr="000078CF">
        <w:rPr>
          <w:spacing w:val="3"/>
          <w:sz w:val="24"/>
          <w:szCs w:val="24"/>
        </w:rPr>
        <w:t xml:space="preserve"> не заложен, не арестован и не является предметом </w:t>
      </w:r>
      <w:r w:rsidR="00E71BC6" w:rsidRPr="000078CF">
        <w:rPr>
          <w:spacing w:val="-2"/>
          <w:sz w:val="24"/>
          <w:szCs w:val="24"/>
        </w:rPr>
        <w:t>притязаний третьих лиц.</w:t>
      </w:r>
    </w:p>
    <w:p w:rsidR="00E71BC6" w:rsidRPr="00B6039C" w:rsidRDefault="005E6923" w:rsidP="00E71BC6">
      <w:pPr>
        <w:pStyle w:val="a3"/>
        <w:tabs>
          <w:tab w:val="left" w:pos="8364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="00E71BC6" w:rsidRPr="00B6039C">
        <w:rPr>
          <w:sz w:val="24"/>
          <w:szCs w:val="24"/>
          <w:lang w:val="ru-RU"/>
        </w:rPr>
        <w:t xml:space="preserve">. </w:t>
      </w:r>
      <w:r w:rsidR="00E71BC6" w:rsidRPr="00B6039C">
        <w:rPr>
          <w:sz w:val="24"/>
          <w:szCs w:val="24"/>
        </w:rPr>
        <w:t>Право собственности на Товар, а также риск случайной гибели, утраты или повре</w:t>
      </w:r>
      <w:r w:rsidR="00E71BC6" w:rsidRPr="00B6039C">
        <w:rPr>
          <w:sz w:val="24"/>
          <w:szCs w:val="24"/>
        </w:rPr>
        <w:t>ж</w:t>
      </w:r>
      <w:r w:rsidR="00E71BC6" w:rsidRPr="00B6039C">
        <w:rPr>
          <w:sz w:val="24"/>
          <w:szCs w:val="24"/>
        </w:rPr>
        <w:t>дения Товара переходит от Поставщика к Заказчику с момента подписания товарно-транспортной накладной</w:t>
      </w:r>
      <w:r w:rsidR="00E71BC6" w:rsidRPr="00B6039C">
        <w:rPr>
          <w:spacing w:val="-1"/>
          <w:sz w:val="24"/>
          <w:szCs w:val="24"/>
        </w:rPr>
        <w:t xml:space="preserve"> и акта приема-передачи товара.</w:t>
      </w:r>
    </w:p>
    <w:p w:rsidR="00E71BC6" w:rsidRPr="00E71BC6" w:rsidRDefault="00E71BC6">
      <w:pPr>
        <w:rPr>
          <w:lang/>
        </w:rPr>
      </w:pPr>
    </w:p>
    <w:sectPr w:rsidR="00E71BC6" w:rsidRPr="00E7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18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36568"/>
    <w:multiLevelType w:val="hybridMultilevel"/>
    <w:tmpl w:val="7EE23FE2"/>
    <w:lvl w:ilvl="0" w:tplc="8CF88B48">
      <w:numFmt w:val="bullet"/>
      <w:lvlText w:val="-"/>
      <w:lvlJc w:val="left"/>
      <w:pPr>
        <w:ind w:left="720" w:hanging="360"/>
      </w:pPr>
      <w:rPr>
        <w:rFonts w:ascii="Times New Roman" w:eastAsia="Times New Roman CYR" w:hAnsi="Times New Roman" w:cs="Times New Roman" w:hint="default"/>
        <w:sz w:val="20"/>
        <w:szCs w:val="20"/>
        <w:lang w:val="en-U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BC6"/>
    <w:rsid w:val="005E6923"/>
    <w:rsid w:val="00E7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C6"/>
    <w:pPr>
      <w:jc w:val="both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1BC6"/>
    <w:pPr>
      <w:widowControl w:val="0"/>
      <w:spacing w:after="120" w:line="360" w:lineRule="atLeast"/>
      <w:ind w:firstLine="720"/>
      <w:textAlignment w:val="baseline"/>
    </w:pPr>
    <w:rPr>
      <w:rFonts w:ascii="Times New Roman" w:hAnsi="Times New Roman" w:cs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E71B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caaiea">
    <w:name w:val="Iacaaiea"/>
    <w:basedOn w:val="a"/>
    <w:rsid w:val="00E71BC6"/>
    <w:pPr>
      <w:spacing w:before="120" w:after="0" w:line="360" w:lineRule="atLeast"/>
      <w:jc w:val="center"/>
    </w:pPr>
    <w:rPr>
      <w:rFonts w:ascii="Times New Roman" w:hAnsi="Times New Roman" w:cs="Times New Roman"/>
      <w:b/>
      <w:bCs/>
    </w:rPr>
  </w:style>
  <w:style w:type="paragraph" w:styleId="a5">
    <w:name w:val="Normal (Web)"/>
    <w:uiPriority w:val="99"/>
    <w:rsid w:val="00E71BC6"/>
    <w:pPr>
      <w:widowControl w:val="0"/>
      <w:suppressAutoHyphens/>
      <w:jc w:val="both"/>
    </w:pPr>
    <w:rPr>
      <w:rFonts w:ascii="Calibri" w:eastAsia="DejaVu Sans" w:hAnsi="Calibri" w:cs="font180"/>
      <w:kern w:val="1"/>
      <w:lang w:eastAsia="ar-SA"/>
    </w:rPr>
  </w:style>
  <w:style w:type="paragraph" w:styleId="a6">
    <w:name w:val="List Paragraph"/>
    <w:basedOn w:val="a"/>
    <w:uiPriority w:val="34"/>
    <w:qFormat/>
    <w:rsid w:val="00E71BC6"/>
    <w:pPr>
      <w:ind w:left="720"/>
      <w:jc w:val="left"/>
    </w:pPr>
  </w:style>
  <w:style w:type="paragraph" w:customStyle="1" w:styleId="a7">
    <w:name w:val="Содержимое таблицы"/>
    <w:basedOn w:val="a"/>
    <w:qFormat/>
    <w:rsid w:val="00E71BC6"/>
    <w:pPr>
      <w:suppressLineNumbers/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1718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2</cp:revision>
  <dcterms:created xsi:type="dcterms:W3CDTF">2019-08-12T05:38:00Z</dcterms:created>
  <dcterms:modified xsi:type="dcterms:W3CDTF">2019-08-12T05:43:00Z</dcterms:modified>
</cp:coreProperties>
</file>