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54" w:tblpY="-1128"/>
        <w:tblW w:w="5991" w:type="pct"/>
        <w:tblLayout w:type="fixed"/>
        <w:tblLook w:val="04A0" w:firstRow="1" w:lastRow="0" w:firstColumn="1" w:lastColumn="0" w:noHBand="0" w:noVBand="1"/>
      </w:tblPr>
      <w:tblGrid>
        <w:gridCol w:w="670"/>
        <w:gridCol w:w="2309"/>
        <w:gridCol w:w="7085"/>
        <w:gridCol w:w="1133"/>
      </w:tblGrid>
      <w:tr w:rsidR="00A73D58" w:rsidRPr="001F636D" w14:paraId="279B8609" w14:textId="6DB31A63" w:rsidTr="00A73D58">
        <w:trPr>
          <w:trHeight w:val="42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47538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1D8F6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1356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sz w:val="20"/>
                <w:szCs w:val="20"/>
                <w:lang w:eastAsia="en-US"/>
              </w:rPr>
              <w:t>Характеристики товара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3297" w14:textId="1EE1B794" w:rsidR="00A73D58" w:rsidRPr="00A73D58" w:rsidRDefault="00A73D58" w:rsidP="00A73D5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Кол-во товара (шт.)</w:t>
            </w:r>
          </w:p>
        </w:tc>
      </w:tr>
      <w:tr w:rsidR="00A73D58" w:rsidRPr="001F636D" w14:paraId="480C5AD5" w14:textId="3D956BEF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1DF2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B0434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sz w:val="20"/>
                <w:szCs w:val="20"/>
                <w:lang w:eastAsia="en-US"/>
              </w:rPr>
              <w:t>Дорожный щит (900х900мм) со знаком дорожным особого предписания (на желто- зеленом фоне) 5.19.1 «Пешеходный переход»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36B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8985BF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5.19.1 «Пешеходный переход»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«В».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 Тип пленки щита – в соответствии с ГОСТ Р 52290-2004 «Технические средства организации дорожного движения. Знаки дорожные. Общие технические требования».</w:t>
            </w:r>
            <w:r w:rsidRPr="001F63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Знаки должны поставляться в комплекте с хомутами.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CBD" w14:textId="14135ED0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</w:t>
            </w:r>
          </w:p>
        </w:tc>
      </w:tr>
      <w:tr w:rsidR="00A73D58" w:rsidRPr="001F636D" w14:paraId="5B5ABB03" w14:textId="51D5943C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58A41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5902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sz w:val="20"/>
                <w:szCs w:val="20"/>
                <w:lang w:eastAsia="en-US"/>
              </w:rPr>
              <w:t>Дорожный щит (900х900мм) со знаком дорожным особого предписания (на желто- зеленом фоне) 5.19.2 «Пешеходный переход»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901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554BE345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5.19.2 «Пешеходный переход»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«В».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  <w:r w:rsidRPr="001F63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Тип пленки щита – в соответствии с ГОСТ Р 52290-2004 «Технические средства организации дорожного движения. Знаки дорожные. Общие технические требования».</w:t>
            </w:r>
            <w:r w:rsidRPr="001F63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Знаки должны поставляться в комплекте с хомутами.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969F" w14:textId="3239B9B3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</w:t>
            </w:r>
          </w:p>
        </w:tc>
      </w:tr>
      <w:tr w:rsidR="00A73D58" w:rsidRPr="001F636D" w14:paraId="29246C14" w14:textId="2E5BA033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53FF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42427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sz w:val="20"/>
                <w:szCs w:val="20"/>
                <w:lang w:eastAsia="en-US"/>
              </w:rPr>
              <w:t>Знак дорожный приоритета 2.4 «Уступите дорогу»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6D5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7A1C4232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2.4 «Уступите дорогу»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960E" w14:textId="6BC28476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15</w:t>
            </w:r>
          </w:p>
        </w:tc>
      </w:tr>
      <w:tr w:rsidR="00A73D58" w:rsidRPr="001F636D" w14:paraId="6C133A85" w14:textId="37DDFCEE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3151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D7E7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sz w:val="20"/>
                <w:szCs w:val="20"/>
                <w:lang w:eastAsia="ar-SA"/>
              </w:rPr>
              <w:t>Знак дорожный предупреждающий 1.17 «Искусственная неровность»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0E3A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2907CDF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1.17 «Искусственная неровность»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097B" w14:textId="3548C7B4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15</w:t>
            </w:r>
          </w:p>
        </w:tc>
      </w:tr>
      <w:tr w:rsidR="00A73D58" w:rsidRPr="001F636D" w14:paraId="21C004B5" w14:textId="2D7132CE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8F368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EB69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 xml:space="preserve">Знак дорожный </w:t>
            </w:r>
            <w:proofErr w:type="gramStart"/>
            <w:r w:rsidRPr="001F636D">
              <w:rPr>
                <w:sz w:val="20"/>
                <w:szCs w:val="20"/>
                <w:lang w:eastAsia="ar-SA"/>
              </w:rPr>
              <w:t>запрещающий  3.27</w:t>
            </w:r>
            <w:proofErr w:type="gramEnd"/>
            <w:r w:rsidRPr="001F636D">
              <w:rPr>
                <w:sz w:val="20"/>
                <w:szCs w:val="20"/>
                <w:lang w:eastAsia="ar-SA"/>
              </w:rPr>
              <w:t xml:space="preserve"> «Остановка запрещена»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37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62A652B6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3.27 «Остановка запрещена»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9B9" w14:textId="68F4D160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25</w:t>
            </w:r>
          </w:p>
        </w:tc>
      </w:tr>
      <w:tr w:rsidR="00A73D58" w:rsidRPr="001F636D" w14:paraId="3BF8C66C" w14:textId="73297D75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15F81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9CA35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rFonts w:eastAsia="Calibri"/>
                <w:sz w:val="20"/>
                <w:szCs w:val="20"/>
                <w:lang w:eastAsia="ar-SA"/>
              </w:rPr>
              <w:t>Знак дополнительной информации (табличка) 8.24 «Работает эвакуатор»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0DC6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5490397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8.24 «Работает эвакуатор»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DE91" w14:textId="1717E506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</w:t>
            </w:r>
          </w:p>
        </w:tc>
      </w:tr>
      <w:tr w:rsidR="00A73D58" w:rsidRPr="001F636D" w14:paraId="1680EE85" w14:textId="64658546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E850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D1F0D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rFonts w:eastAsia="Calibri"/>
                <w:sz w:val="20"/>
                <w:szCs w:val="20"/>
                <w:lang w:eastAsia="ar-SA"/>
              </w:rPr>
              <w:t>Знак дорожный предупреждающий 1.23 «Дети»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1556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2F882F07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1.23 «Дети»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ABCB" w14:textId="31FC7580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</w:t>
            </w:r>
          </w:p>
        </w:tc>
      </w:tr>
      <w:tr w:rsidR="00A73D58" w:rsidRPr="001F636D" w14:paraId="4A96E74C" w14:textId="4E16267A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B2906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1BAAC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rFonts w:eastAsia="Calibri"/>
                <w:sz w:val="20"/>
                <w:szCs w:val="20"/>
                <w:lang w:eastAsia="ar-SA"/>
              </w:rPr>
              <w:t>Знак дорожный приоритета 2.1 «Главная дорога»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D1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01C5934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2.1 «Главная дорога»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C73" w14:textId="3ED2057F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10</w:t>
            </w:r>
          </w:p>
        </w:tc>
      </w:tr>
      <w:tr w:rsidR="00A73D58" w:rsidRPr="001F636D" w14:paraId="705C3024" w14:textId="4A8655A7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42C6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8EE98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rFonts w:eastAsia="Calibri"/>
                <w:sz w:val="20"/>
                <w:szCs w:val="20"/>
                <w:lang w:eastAsia="ar-SA"/>
              </w:rPr>
              <w:t xml:space="preserve">Знак дорожный </w:t>
            </w:r>
            <w:proofErr w:type="gramStart"/>
            <w:r w:rsidRPr="001F636D">
              <w:rPr>
                <w:rFonts w:eastAsia="Calibri"/>
                <w:sz w:val="20"/>
                <w:szCs w:val="20"/>
                <w:lang w:eastAsia="ar-SA"/>
              </w:rPr>
              <w:t>запрещающий  3.1</w:t>
            </w:r>
            <w:proofErr w:type="gramEnd"/>
            <w:r w:rsidRPr="001F636D">
              <w:rPr>
                <w:rFonts w:eastAsia="Calibri"/>
                <w:sz w:val="20"/>
                <w:szCs w:val="20"/>
                <w:lang w:eastAsia="ar-SA"/>
              </w:rPr>
              <w:t xml:space="preserve"> «Въезд запрещен»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226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02617899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3.1 «Въезд запрещен»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D7B0" w14:textId="5556DC9F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00D0E047" w14:textId="6C914F28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FB584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34AAA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информационный 6.16 «Стоп-линия»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10F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1A0CC78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6.16 «Стоп-линия»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D0E" w14:textId="1A29ADBC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7D266C76" w14:textId="52ED8633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8BE9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55710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предупреждающий 1.2 «Железнодорожный переезд без шлагбаума»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7CC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D443808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1.2 «Железнодорожный переезд без шлагбаума»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2B8A" w14:textId="4BFABB8B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0926B966" w14:textId="5056F727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BD7BD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044A7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3.2 «Движение запрещено»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9017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7927888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3.2 «Движение запрещено»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6225" w14:textId="6CF9B0D0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5B719FC1" w14:textId="5E697F3D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3362D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2380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предупреждающий 1.15 «Скользкая дорога»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7DE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8A2DFD4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1.15 «Скользкая дорога»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1ED4" w14:textId="3FA71F1F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10</w:t>
            </w:r>
          </w:p>
        </w:tc>
      </w:tr>
      <w:tr w:rsidR="00A73D58" w:rsidRPr="001F636D" w14:paraId="2B165DC2" w14:textId="6C9FCAB8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AA3D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CBBE4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8.2.3 «Зона действия»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B73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77810128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8.2.3 «Зона действия»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D9FF" w14:textId="0961B2BE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6</w:t>
            </w:r>
          </w:p>
        </w:tc>
      </w:tr>
      <w:tr w:rsidR="00A73D58" w:rsidRPr="001F636D" w14:paraId="72428F22" w14:textId="42671F91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7A9A1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34A45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8.2.4 «Зона действия»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2F87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7B8D2E9F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8.2.4 «Зона действия»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D70" w14:textId="64E659B3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10</w:t>
            </w:r>
          </w:p>
        </w:tc>
      </w:tr>
      <w:tr w:rsidR="00A73D58" w:rsidRPr="001F636D" w14:paraId="744BD54F" w14:textId="7AF89A8A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9F17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C557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8.6.1 «Способ постановки транспортного средства на стоянку»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635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482CA892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8.6.1 «Способ постановки транспортного средства на стоянку»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283" w14:textId="740C1C8A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52CEE64A" w14:textId="47D75652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32399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96DA3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8.3.1 «Направление действия»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E3E1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50C5E429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8.3.1 «Направление действия»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3D6" w14:textId="0FAFC549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</w:p>
        </w:tc>
      </w:tr>
      <w:tr w:rsidR="00A73D58" w:rsidRPr="001F636D" w14:paraId="31A153A2" w14:textId="170B0D05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58636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AC3F2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предупреждающий 1.16 «Неровная дорога»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E31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0973917E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1.16 «Неровная дорога»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38CF" w14:textId="65302B67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2079EC8D" w14:textId="735D02ED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44E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AC7C1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8.6.5 «Способ постановки транспортного средства на стоянку»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35E4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7066528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8.6.5 «Способ постановки транспортного средства на стоянку»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38D" w14:textId="03FDFCDE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752DCB6F" w14:textId="0AD09680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4A47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6D28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приоритета 2.2 «Конец главной дороги»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38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77BBA82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2.2 «Конец главной дороги»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04E" w14:textId="41DA7A16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19E70C5D" w14:textId="0F06B7B0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24C3E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3EE85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предписывающий 4.1.1 «Движение прямо»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31D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0AAFEB6B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4.1.1 «Движение прямо»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A63E" w14:textId="758A62A0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2FFF5D1D" w14:textId="4E617426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210DE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E009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3.4 «Движение грузовых автомобилей запрещено»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3CA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03FA2F9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3.4 «Движение грузовых автомобилей запрещено»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095" w14:textId="58F67CA6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171D7444" w14:textId="4C3C5FA6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3E50B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6CA17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3.28 «Стоянка запрещена»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87D4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090EC80E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3.28 «Стоянка запрещена»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8CC" w14:textId="0318D522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0D8192B2" w14:textId="280E2990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20A80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9BA60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особых предписаний 5.7.1 «Выезд на дорогу с односторонним движением»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C19B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18C30AC9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5.7.1 «Выезд на дорогу с односторонним движением»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181" w14:textId="6AB5313F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560F7CE0" w14:textId="1F8C6EE7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569B1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7988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особых предписаний 5.7.2 «Выезд на дорогу с односторонним движением»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FBCB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63768D16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5.7.2 «Выезд на дорогу с односторонним движением»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606B" w14:textId="442F2B0F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42848E0B" w14:textId="77682C4B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8F31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02144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8.13 «Направление главной дороги»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1F12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119C89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8.13 «Направление главной дороги»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Знак «Направление главной дороги» должен соответствовать рис. 1.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  <w:p w14:paraId="452FF9AE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Рис. 1</w:t>
            </w:r>
          </w:p>
          <w:p w14:paraId="5C8A58FB" w14:textId="1F8CF86B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B707203" wp14:editId="27B68159">
                  <wp:extent cx="294005" cy="2806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866" w14:textId="6093C1E1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3339C2B8" w14:textId="7D4E19C4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A154F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06552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3.29 «Стоянка запрещена по нечетным числам месяца»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AB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62FD873B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3.29 «Стоянка запрещена по нечетным числам месяца»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6D83" w14:textId="4D49D2FB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10</w:t>
            </w:r>
          </w:p>
        </w:tc>
      </w:tr>
      <w:tr w:rsidR="00A73D58" w:rsidRPr="001F636D" w14:paraId="400123C4" w14:textId="12ED5905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FCFFB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AA06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3.30 «Стоянка запрещена по четным числам месяца»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8A69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22FF8795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3.30 «Стоянка запрещена по четным числам месяца»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D99A" w14:textId="56BF3858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10</w:t>
            </w:r>
          </w:p>
        </w:tc>
      </w:tr>
      <w:tr w:rsidR="00A73D58" w:rsidRPr="001F636D" w14:paraId="1EBA225C" w14:textId="76C51BE7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EF5F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CC8D4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3.18.1 «Поворот направо запрещен»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6B7F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5AF5B1F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3.18.1 «Поворот направо запрещен»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</w:t>
            </w: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572C" w14:textId="00E15D8B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4</w:t>
            </w:r>
          </w:p>
        </w:tc>
      </w:tr>
      <w:tr w:rsidR="00A73D58" w:rsidRPr="001F636D" w14:paraId="0C49E1C6" w14:textId="142DB4A8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4E907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CA7EE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запрещающий 3.18.2 «Поворот налево запрещен»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2F01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209EEF2A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3.18.2 «Поворот налево запрещен»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777" w14:textId="60CE3B3E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</w:p>
        </w:tc>
      </w:tr>
      <w:tr w:rsidR="00A73D58" w:rsidRPr="001F636D" w14:paraId="42FD1E08" w14:textId="379D6597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70F4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28A16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особых предписаний 5.15.2 «Направления движения по полосе» (налево)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3FAA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1BEF3626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5.15.2 «Направления движения по полосе» (налево)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2EE" w14:textId="62C397A2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</w:p>
        </w:tc>
      </w:tr>
      <w:tr w:rsidR="00A73D58" w:rsidRPr="001F636D" w14:paraId="298C2C43" w14:textId="67B17E5A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E4AA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1F35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особых предписаний 5.15.2 «Направления движения по полосе» (прямо)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464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28824B36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5.15.2 «Направления движения по полосе» (прямо)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AD9" w14:textId="049D0C8E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</w:p>
        </w:tc>
      </w:tr>
      <w:tr w:rsidR="00A73D58" w:rsidRPr="001F636D" w14:paraId="0A125D56" w14:textId="77C0A900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AD16C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CFDC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особых предписаний 5.15.4 «Начало полосы»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0A88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4137E005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5.15.4 «Начало полосы»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</w:t>
            </w:r>
            <w:r w:rsidRPr="001F636D">
              <w:rPr>
                <w:sz w:val="20"/>
                <w:szCs w:val="20"/>
                <w:lang w:eastAsia="ar-SA"/>
              </w:rPr>
              <w:t xml:space="preserve"> </w:t>
            </w: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Знак «Начало полосы» должен соответствовать рис. 1.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  <w:p w14:paraId="1799E6C7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Рис. 1</w:t>
            </w:r>
          </w:p>
          <w:p w14:paraId="0637144C" w14:textId="79657B8B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noProof/>
                <w:position w:val="-59"/>
              </w:rPr>
              <w:drawing>
                <wp:inline distT="0" distB="0" distL="0" distR="0" wp14:anchorId="33D2AF10" wp14:editId="6233D454">
                  <wp:extent cx="294005" cy="294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6906" w14:textId="17F749E1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4</w:t>
            </w:r>
          </w:p>
        </w:tc>
      </w:tr>
      <w:tr w:rsidR="00A73D58" w:rsidRPr="001F636D" w14:paraId="1474B175" w14:textId="0D7CA3BE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368C8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7B7DF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особых предписаний 5.15.5 «Конец полосы»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993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0092A29A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5.15.5 «Конец полосы»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274" w14:textId="04D9E940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4</w:t>
            </w:r>
          </w:p>
        </w:tc>
      </w:tr>
      <w:tr w:rsidR="00A73D58" w:rsidRPr="001F636D" w14:paraId="0E29F00A" w14:textId="1068D5BB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8A23B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496C6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8.14 «Полоса движения»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A4A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6DAC82FC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8.14 «Полоса движения»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0F3F" w14:textId="36D5EBAE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</w:p>
        </w:tc>
      </w:tr>
      <w:tr w:rsidR="00A73D58" w:rsidRPr="001F636D" w14:paraId="2487DFA9" w14:textId="343C1971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A7816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D6A2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8.2.1 «Зона действия» (50 м)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B65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70C083A9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8.2.1 «Зона действия» (50 м)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372" w14:textId="47BF4B3A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</w:tr>
      <w:tr w:rsidR="00A73D58" w:rsidRPr="001F636D" w14:paraId="08C80F8D" w14:textId="4D8524F1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C1437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02FD5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дополнительной информации (табличка) 8.2.1 «Зона действия» (30 м)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04E0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55DFE10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8.2.1 «Зона действия» (30 м)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04CD" w14:textId="10B5C1D2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</w:tr>
      <w:tr w:rsidR="00A73D58" w:rsidRPr="001F636D" w14:paraId="60011929" w14:textId="6FC702B5" w:rsidTr="00A73D58">
        <w:trPr>
          <w:trHeight w:val="3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576E" w14:textId="77777777" w:rsidR="00A73D58" w:rsidRPr="001F636D" w:rsidRDefault="00A73D58" w:rsidP="00A73D58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36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C148A" w14:textId="77777777" w:rsidR="00A73D58" w:rsidRPr="001F636D" w:rsidRDefault="00A73D58" w:rsidP="00A73D58">
            <w:pPr>
              <w:suppressAutoHyphens/>
              <w:rPr>
                <w:sz w:val="20"/>
                <w:szCs w:val="20"/>
                <w:lang w:eastAsia="ar-SA"/>
              </w:rPr>
            </w:pPr>
            <w:r w:rsidRPr="001F636D">
              <w:rPr>
                <w:sz w:val="20"/>
                <w:szCs w:val="20"/>
                <w:lang w:eastAsia="ar-SA"/>
              </w:rPr>
              <w:t>Знак дорожный информационный 6.4 «Парковка (парковочное место)»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C75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Размер знака - II типоразмер.</w:t>
            </w:r>
          </w:p>
          <w:p w14:paraId="3D8244AD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Лицевая поверхность дорожного знака 6.4 «Парковка (парковочное место)» должна быть изготовлена из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пленки типа «Б» высокоинтенсивная.</w:t>
            </w:r>
            <w:r w:rsidRPr="001F636D">
              <w:rPr>
                <w:sz w:val="20"/>
                <w:szCs w:val="20"/>
                <w:lang w:eastAsia="ar-SA"/>
              </w:rPr>
              <w:t xml:space="preserve"> </w:t>
            </w: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Знак «Парковка (парковочное место)» должен соответствовать рис. 1. Все элементы </w:t>
            </w:r>
            <w:proofErr w:type="spellStart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световозвращающей</w:t>
            </w:r>
            <w:proofErr w:type="spellEnd"/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 xml:space="preserve"> поверхности знака должны изготовляться из пленки одного типа. Пленка должна состоять из цельных кусков, без наложения одного слоя на другой.</w:t>
            </w:r>
          </w:p>
          <w:p w14:paraId="49918853" w14:textId="77777777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rFonts w:eastAsia="Calibri"/>
                <w:sz w:val="20"/>
                <w:szCs w:val="20"/>
                <w:lang w:eastAsia="en-US" w:bidi="en-US"/>
              </w:rPr>
              <w:t>Рис. 1</w:t>
            </w:r>
          </w:p>
          <w:p w14:paraId="6F27AC12" w14:textId="33815538" w:rsidR="00A73D58" w:rsidRPr="001F636D" w:rsidRDefault="00A73D58" w:rsidP="00A73D58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1F636D">
              <w:rPr>
                <w:noProof/>
                <w:position w:val="-61"/>
              </w:rPr>
              <w:lastRenderedPageBreak/>
              <w:drawing>
                <wp:inline distT="0" distB="0" distL="0" distR="0" wp14:anchorId="3492C7B7" wp14:editId="1033EFC0">
                  <wp:extent cx="294005" cy="3041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EDE" w14:textId="56C36D9F" w:rsidR="00A73D58" w:rsidRPr="001F636D" w:rsidRDefault="00A73D58" w:rsidP="00A73D58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10</w:t>
            </w:r>
          </w:p>
        </w:tc>
      </w:tr>
    </w:tbl>
    <w:p w14:paraId="4CA0D2E5" w14:textId="77777777" w:rsidR="00423B97" w:rsidRDefault="00423B97"/>
    <w:sectPr w:rsidR="0042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96"/>
    <w:rsid w:val="002826EC"/>
    <w:rsid w:val="00423B97"/>
    <w:rsid w:val="00A73D58"/>
    <w:rsid w:val="00C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7364"/>
  <w15:chartTrackingRefBased/>
  <w15:docId w15:val="{CF625BE5-743E-43FC-912F-153CA40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2493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Трофимов</dc:creator>
  <cp:keywords/>
  <dc:description/>
  <cp:lastModifiedBy>илья Трофимов</cp:lastModifiedBy>
  <cp:revision>2</cp:revision>
  <dcterms:created xsi:type="dcterms:W3CDTF">2020-12-18T10:11:00Z</dcterms:created>
  <dcterms:modified xsi:type="dcterms:W3CDTF">2020-12-18T10:11:00Z</dcterms:modified>
</cp:coreProperties>
</file>