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Трубка дренажная медицинская (резина) внутренний диаметр 8мм толщина стенки 2мм ГОСТ 42-21-2-85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 упаковка. 5кг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Трубка дренажная медицинская (силиконовая резина)  8мм толщина стенки 2.5мм ГОСТ 42-21-2-85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упаковка. 3кг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Трубка дренажная медицинская (силиконовая резина)  6мм толщина стенки 1мм ГОСТ 42-21-2-85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 упаковка. 3кг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Трубка дренажная медицинская (силиконовая резина)  6мм толщина стенки 1.5мм ГОСТ 42-21-2-85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 упаковка. 3кг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Пипетки (номинальной вместимостью 0.5мл) ГОСТ 29044 (ИСО 384) —  10шт.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Колба мерная коническая КН-1-250-29/32 ГОСТ 25336-82 — 12шт.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Бюретка 1(4)-2-50-0.1 ГОСТ 20292-74 — 100шт.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Бюретка 1(4)-2-20-0.1 ГОСТ 20292-74 — 100шт.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Склянка с тубусом вместимостью 5л (Бутыль Вульфа с нижним тубусом на 5000мл.) ГОСТ 25336 — 1шт.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Склянка с тубусом вместимостью 3л (Бутыль Вульфа с нижним тубусом на 3000мл.) ГОСТ 25336 — 1шт.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