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На данный момент часть забора затянута виниловым баннером на металлокаркасе.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Перечень задач: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заменить баннер, которые закреплен (снять старый/напечатать новый/смонтировать новый);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установить металлокаркас на новые секции бетонного забора и оформить эти секции (напечатать новый баннер/смонтировать его);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установить подсветку забора (прожекторы уличные/крепления/установка и подключение)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покрасить в один цвет видимые участки металлокаркаса (чтобы старый и новые не отличались друг от друга по оттенку)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подготовка макетов от дизайнера под печать</w:t>
      </w:r>
    </w:p>
    <w:p>
      <w:pPr>
        <w:pStyle w:val="Normal"/>
        <w:widowControl/>
        <w:spacing w:before="0" w:after="140"/>
        <w:jc w:val="left"/>
        <w:rPr>
          <w:rFonts w:ascii="verdana;geneva;lucida;lucida grande;arial;helvetica;sans-serif" w:hAnsi="verdana;geneva;lucida;lucida grande;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ВАЖНО! Просчет необходимо предоставить в 2х вариантах: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1) виниловый баннер свето-блокирующий Blackout;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2) композитные панели с накаткой пленки с печатью и ламинацией.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3) учесть логистику и расходные материалы, КП должно быть под ключ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Размеры: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баннер литой - 590 м2 (старый и новый кусок)</w:t>
      </w:r>
    </w:p>
    <w:p>
      <w:pPr>
        <w:pStyle w:val="Normal"/>
        <w:widowControl/>
        <w:spacing w:before="0" w:after="140"/>
        <w:jc w:val="left"/>
        <w:rPr/>
      </w:pP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новый каркас (проф труба 40х40 на кронштейнах) - 49 погонных метров.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altName w:val="genev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;sans-serif" w:hAnsi="arial;sans-serif" w:cs="OpenSymbol"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Блочная цитата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LibreOffice/5.1.6.2$Linux_X86_64 LibreOffice_project/10m0$Build-2</Application>
  <Pages>1</Pages>
  <Words>127</Words>
  <Characters>789</Characters>
  <CharactersWithSpaces>902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2021-02-04T17:38:27Z</dcterms:created>
  <dc:creator/>
  <dc:description/>
  <dc:language>ru-RU</dc:language>
  <cp:lastModifiedBy/>
  <dcterms:modified xsi:type="dcterms:W3CDTF">2021-07-26T19:24:15Z</dcterms:modified>
  <cp:revision>81</cp:revision>
  <dc:subject/>
  <dc:title/>
</cp:coreProperties>
</file>