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Опросный лист на переносной пирометр (инфракрасный термометр)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Общие технические характеристики переносного пирометра (инфракрасного термометра)</w:t>
      </w:r>
    </w:p>
    <w:tbl>
      <w:tblPr>
        <w:tblW w:w="10144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8"/>
        <w:gridCol w:w="2693"/>
        <w:gridCol w:w="6883"/>
      </w:tblGrid>
      <w:tr>
        <w:trPr>
          <w:trHeight w:val="56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 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Параметры требований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Конкретные требования к товарам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(установленные Обществом)</w:t>
            </w:r>
          </w:p>
        </w:tc>
      </w:tr>
      <w:tr>
        <w:trPr>
          <w:trHeight w:val="74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Наименование, виды, ассортимент закупаемых товаров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Переносной пирометр (инфракрасный термометр)</w:t>
            </w:r>
          </w:p>
        </w:tc>
      </w:tr>
      <w:tr>
        <w:trPr>
          <w:trHeight w:val="4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Требуемое количество, ед.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 шт.</w:t>
            </w:r>
            <w:bookmarkStart w:id="0" w:name="_GoBack"/>
            <w:bookmarkEnd w:id="0"/>
          </w:p>
        </w:tc>
      </w:tr>
      <w:tr>
        <w:trPr>
          <w:trHeight w:val="98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качеству товаров, качественным (потребительским) свойствам товаров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Поставляемое оборудование должно быть новым, не бывшем в употреблении, не восстановленным, не являться выставочным образцом, свободным от прав третьих лиц. Новизна оборудования подтверждается паспортом на данное изделие.</w:t>
            </w:r>
          </w:p>
        </w:tc>
      </w:tr>
      <w:tr>
        <w:trPr>
          <w:trHeight w:val="162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техническим характеристикам товаров и их безопасности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72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HBand="0" w:noVBand="1" w:firstColumn="1" w:lastRow="0" w:lastColumn="0" w:firstRow="1"/>
            </w:tblPr>
            <w:tblGrid>
              <w:gridCol w:w="1808"/>
              <w:gridCol w:w="4963"/>
            </w:tblGrid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Температурный диапазон измерения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от -30 до +900°С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Точность измерений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не более ±1°C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Дальность измерений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не менее 5 м. 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Тепловая чувствительность, разрешение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не более 0,1°C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Лазер       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Фокус – пересекающиеся лучи (крестообразный);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Фокус – двулучевой лазер (две точки).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Подсветка точки измерения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Цветной лазер (прицел)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Минимальный размер объекта измерения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не более 1мм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Коэффициент излучения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Регулируемый от 0,100 до 1,100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Экран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ЖК дисплей с подсветкой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Подключение термопары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да (наличие возможности для подключения термопары входящей в комплект прибора)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Функция фиксации максимального значения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да (фиксируется максимальное значение, достигнутое во время каждого замера)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Сохранение данных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Накопитель данных с объемом памяти не менее 100 значений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Наличие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en-US"/>
                    </w:rPr>
                    <w:t>USB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связи пирометра и ПК (для передачи данных)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Наличие ПО с полным набором функций для просмотра, анализа и составления отчетов, на стационарные ПК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да (для Windows 10)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Интерфейс и программное обеспечение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Русифицированы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Размер прибора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не более 300х200х150 мм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Вес прибора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не более 1 кг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Условия эксплуатации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температура: от 0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 до +35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Степень защиты корпуса 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не менее IP54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Защита от вибрации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Питание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Элемент питания или аккумуляторная батарея, не менее 4 часов непрерывной работы с включенным лазером и подсветкой экрана.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Сетевое зарядное устройство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Вх.: 220-230 В, вых.: до 24 В. 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Межповерочный интервал</w:t>
                  </w:r>
                </w:p>
              </w:tc>
              <w:tc>
                <w:tcPr>
                  <w:tcW w:w="49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не менее 1 года (при наличии)</w:t>
                  </w:r>
                </w:p>
              </w:tc>
            </w:tr>
          </w:tbl>
          <w:p>
            <w:pPr>
              <w:pStyle w:val="4"/>
              <w:numPr>
                <w:ilvl w:val="0"/>
                <w:numId w:val="0"/>
              </w:numPr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3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функциональным характеристикам (потребительским свойствам) и конструктивному исполнению товара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Пирометр предназначен для бесконтактного измерения температуры объектов с расстояния, размером от 1 мм в температурном диапазоне от −30°C до +900°C для осуществления всех видов производственных и исследовательских работ, оборудование с возможностью как мгновенного просмотра, так и просмотра сохраненных файлов в специализированном ПО на стационарном ПК.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Комплект поставки: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Переносной пирометр – 1 шт.;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Подключаемая термопара – 1 шт.;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Элемент питания – аккумуляторы – 2 шт.;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Зарядное устройство для аккумуляторных батарей (при комплектации аккумуляторами) от сети 220В – 1 шт.;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Кабель связи (USB) пирометра и ПК – 1 шт.;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с полным набором функций для просмотра, анализа и составления отчетов;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SD-карта памяти с объемом памяти не менее 100 значений (при необходимости для использования прибора) – 2 шт.;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Ремешок для предотвращения падения – 1 шт.;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Комплект документации (паспорт, методика проверки), инструкция по эксплуатации (на русском языке);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Кейс (сумка) для транспортировки прибора – 1 шт.;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3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по передаче заказчику технических и иных документов при поставке товаров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Фирменный гарантийный талон с печатью продавца, накладная. Сертификат ТР ТС.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 поставке в комплект документации включить свидетельство об утверждении типа средств измерений, руководство по эксплуатации, методика поверки, первичная поверка, при взрывозащищённом исполнении прибора ТР ТС 012/2011, сертификаты и разрешительные документы (заверенные копии).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Вся документация, входящая в комплект поставки, должна быть на русском языке в одном экземпляре, а также в электронном виде (с подписями ответственных лиц) в формате Adobe Acrobat (*.pdf). Графическое разрешение и качество файлов должно быть достаточным для уверенного восприятия всей содержащейся графической и текстовой информации.</w:t>
            </w:r>
          </w:p>
        </w:tc>
      </w:tr>
      <w:tr>
        <w:trPr>
          <w:trHeight w:val="51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упаковке и маркировке товара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Стандартная заводская упаковка из основной (наружной) и внутренней упаковки, специализированный защитный кейс (сумка) для переноски.</w:t>
            </w:r>
          </w:p>
        </w:tc>
      </w:tr>
      <w:tr>
        <w:trPr>
          <w:trHeight w:val="84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по объему гарантий качества товаров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Гарантийные обязательства в соответствии с положениями Закона Российской Федерации «О защите прав потребителей» в действующей редакции.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 обнаружении в гарантийный срок эксплуатации дефектов, вызванных некачественным изготовлением и подтвержденных актом установленной формы, составленным Заказчиком, завод-изготовитель должен устранить обнаруженные дефекты или заменить оборудование / изделие / элемент конструкции или полностью изделие.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по сроку гарантий на товары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Не менее 12 месяцев с момента ввода в эксплуатацию </w:t>
            </w:r>
          </w:p>
        </w:tc>
      </w:tr>
    </w:tbl>
    <w:p>
      <w:pPr>
        <w:pStyle w:val="Normal"/>
        <w:spacing w:lineRule="exact" w:line="240" w:before="0" w:after="160"/>
        <w:jc w:val="center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pStyle w:val="3"/>
      <w:numFmt w:val="decimal"/>
      <w:lvlText w:val="%1.%2.%3."/>
      <w:lvlJc w:val="left"/>
      <w:pPr>
        <w:tabs>
          <w:tab w:val="num" w:pos="0"/>
        </w:tabs>
        <w:ind w:left="788" w:hanging="504"/>
      </w:pPr>
    </w:lvl>
    <w:lvl w:ilvl="3">
      <w:start w:val="1"/>
      <w:pStyle w:val="4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17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97de9"/>
    <w:pPr>
      <w:keepNext w:val="true"/>
      <w:numPr>
        <w:ilvl w:val="0"/>
        <w:numId w:val="1"/>
      </w:numPr>
      <w:tabs>
        <w:tab w:val="clear" w:pos="708"/>
        <w:tab w:val="left" w:pos="357" w:leader="none"/>
      </w:tabs>
      <w:suppressAutoHyphens w:val="true"/>
      <w:overflowPunct w:val="true"/>
      <w:spacing w:lineRule="auto" w:line="240" w:before="240" w:after="0"/>
      <w:ind w:left="0" w:hanging="0"/>
      <w:jc w:val="both"/>
      <w:textAlignment w:val="baseline"/>
      <w:outlineLvl w:val="0"/>
    </w:pPr>
    <w:rPr>
      <w:rFonts w:ascii="Times New Roman" w:hAnsi="Times New Roman" w:eastAsia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997de9"/>
    <w:pPr>
      <w:keepNext w:val="true"/>
      <w:numPr>
        <w:ilvl w:val="1"/>
        <w:numId w:val="1"/>
      </w:numPr>
      <w:tabs>
        <w:tab w:val="clear" w:pos="708"/>
        <w:tab w:val="left" w:pos="510" w:leader="none"/>
      </w:tabs>
      <w:suppressAutoHyphens w:val="true"/>
      <w:overflowPunct w:val="true"/>
      <w:spacing w:lineRule="auto" w:line="240" w:before="0" w:after="0"/>
      <w:jc w:val="both"/>
      <w:textAlignment w:val="baseline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Normal"/>
    <w:next w:val="Normal"/>
    <w:link w:val="30"/>
    <w:uiPriority w:val="9"/>
    <w:qFormat/>
    <w:rsid w:val="00997de9"/>
    <w:pPr>
      <w:numPr>
        <w:ilvl w:val="2"/>
        <w:numId w:val="1"/>
      </w:numPr>
      <w:tabs>
        <w:tab w:val="clear" w:pos="708"/>
        <w:tab w:val="left" w:pos="652" w:leader="none"/>
        <w:tab w:val="left" w:pos="851" w:leader="none"/>
      </w:tabs>
      <w:overflowPunct w:val="true"/>
      <w:spacing w:lineRule="auto" w:line="240" w:before="0" w:after="0"/>
      <w:jc w:val="both"/>
      <w:textAlignment w:val="baseline"/>
      <w:outlineLvl w:val="2"/>
    </w:pPr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997de9"/>
    <w:pPr>
      <w:widowControl w:val="false"/>
      <w:numPr>
        <w:ilvl w:val="3"/>
        <w:numId w:val="1"/>
      </w:numPr>
      <w:tabs>
        <w:tab w:val="clear" w:pos="708"/>
        <w:tab w:val="left" w:pos="851" w:leader="none"/>
      </w:tabs>
      <w:overflowPunct w:val="true"/>
      <w:spacing w:lineRule="auto" w:line="240" w:before="0" w:after="0"/>
      <w:ind w:left="0" w:hanging="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97de9"/>
    <w:rPr>
      <w:rFonts w:ascii="Times New Roman" w:hAnsi="Times New Roman" w:eastAsia="Times New Roman" w:cs="Times New Roman"/>
      <w:b/>
      <w:bCs/>
      <w:cap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997de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97de9"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97de9"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732048"/>
    <w:rPr>
      <w:rFonts w:ascii="Segoe UI" w:hAnsi="Segoe UI" w:cs="Segoe UI"/>
      <w:sz w:val="18"/>
      <w:szCs w:val="1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a15df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320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8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91DD-BDD1-495B-88CF-0DC09797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Application>LibreOffice/6.4.7.2$Linux_X86_64 LibreOffice_project/40$Build-2</Application>
  <Pages>2</Pages>
  <Words>625</Words>
  <Characters>4140</Characters>
  <CharactersWithSpaces>4688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2021-06-22T05:28:00Z</dcterms:created>
  <dc:creator>Павлов Максим Александрович</dc:creator>
  <dc:description/>
  <dc:language>ru-RU</dc:language>
  <cp:lastModifiedBy/>
  <cp:lastPrinted>2021-07-08T09:49:00Z</cp:lastPrinted>
  <dcterms:modified xsi:type="dcterms:W3CDTF">2022-10-18T15:28:09Z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