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lang w:val="ru-RU"/>
        </w:rPr>
      </w:pPr>
      <w:r>
        <w:rPr>
          <w:rFonts w:cs="Arial" w:ascii="Arial" w:hAnsi="Arial"/>
          <w:sz w:val="24"/>
          <w:lang w:val="ru-RU"/>
        </w:rPr>
      </w:r>
    </w:p>
    <w:tbl>
      <w:tblPr>
        <w:tblStyle w:val="25"/>
        <w:tblW w:w="95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343"/>
        <w:gridCol w:w="840"/>
        <w:gridCol w:w="714"/>
        <w:gridCol w:w="1942"/>
      </w:tblGrid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en-US"/>
              </w:rPr>
              <w:t xml:space="preserve">N </w:t>
            </w:r>
            <w:r>
              <w:rPr>
                <w:lang w:val="ru-RU"/>
              </w:rPr>
              <w:t>п.п.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Тип, марка, название материалов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ед.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изм.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кол-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во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Примечание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>
                <w:b/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Лоток неперфорированный, фурнитура лотка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Лоток замковый неперфорированный из оцинкован- ной стали  толщиной 0,7-1,0 мм  300х80х3000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12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36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Лоток замковый неперфорированный из оци</w:t>
            </w:r>
            <w:bookmarkStart w:id="0" w:name="_GoBack"/>
            <w:bookmarkEnd w:id="0"/>
            <w:r>
              <w:rPr>
                <w:lang w:val="ru-RU"/>
              </w:rPr>
              <w:t>нкован- ной стали  толщиной 0,7-1,0 мм  200х50х3000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7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21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Лоток замковый неперфорированный из оцинкован- ной стали  толщиной 0,7-1,0 мм  150х50х3000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33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99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Лоток замковый неперфорированный из оцинкован- ной стали  толщиной 0,7-1,0 мм  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48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144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Крышка лотка неперфорированного из оцинкованной стали  толщиной 0,7-1,0 мм  300х80х3000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12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36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>
          <w:trHeight w:val="1081" w:hRule="exact"/>
        </w:trPr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Крышка лотка неперфорированного из оцинкованной стали  толщиной 0,7-1,0 мм  200х50х3000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7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21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7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Крышка лотка неперфорированного из оцинкованной стали  толщиной 0,7-1,0 мм  150х50х3000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48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144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8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Крышка лотка неперфорированного из оцинкованной стали  толщиной 0,7-1,0 мм  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  <w:t>шт./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м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33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99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9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Заглушка для лотка неперфорированного из оцинко- ванной стали  толщиной 0,7-1,0 мм  300х80х3000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Заглушка для лотка неперфорированного из оцинко- ванной стали  толщиной 0,7-1,0 мм  200х50х3000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11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Заглушка для лотка неперфорированного из оцинко- ванной стали  толщиной 0 мм  150х50х30000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5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12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Заглушка для лотка неперфорированного из оцинко- ванной стали  толщиной 0,7-1,0 мм  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13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Угол горизонтальный 90 град. для лотка неперфорир.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из оцинк. стали толщиной 0,7-1,0 мм 300х80х3000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14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Угол горизонтальный 90 град. для лотка неперфорир.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>из оцинк. стали толщиной 0,7-1,0 мм 150х50х3000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15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Угол горизонтальный  90 град. для лотка неперфорир. из оцинк. стали толщиной 0,7-1,0 мм 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6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16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Угол вертикальный внешний 90 град. для лотка не-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перф. из оц.  стали толщиной 0,7-1,0 мм 300х80х3000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17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Угол вертикальный внешний 90 град. для лотка не-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перф. из оц.  стали толщиной 0,7-1,0 мм 150х50х3000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>
          <w:trHeight w:val="309" w:hRule="exact"/>
        </w:trPr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18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Угол вертикальный  внутренний 90 град. для лотка 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не перф. из оц.  стали толщ. 0,7-1,0 мм 150х50х3000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стыкуется с соот-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ветств. лотком</w:t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19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Консоль потолочная </w:t>
            </w:r>
            <w:r>
              <w:rPr>
                <w:lang w:val="en-US"/>
              </w:rPr>
              <w:t>CLW10-VREF-</w:t>
            </w:r>
            <w:r>
              <w:rPr>
                <w:lang w:val="ru-RU"/>
              </w:rP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28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20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Консоль потолочная </w:t>
            </w:r>
            <w:r>
              <w:rPr>
                <w:lang w:val="en-US"/>
              </w:rPr>
              <w:t>CLW10-VREF-</w:t>
            </w:r>
            <w:r>
              <w:rPr>
                <w:lang w:val="ru-RU"/>
              </w:rP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21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 xml:space="preserve">Консоль потолочная </w:t>
            </w:r>
            <w:r>
              <w:rPr>
                <w:lang w:val="en-US"/>
              </w:rPr>
              <w:t>CLW10-VREF-</w:t>
            </w:r>
            <w:r>
              <w:rPr>
                <w:lang w:val="ru-RU"/>
              </w:rPr>
              <w:t>1</w:t>
            </w:r>
            <w:r>
              <w:rPr>
                <w:lang w:val="en-US"/>
              </w:rPr>
              <w:t>00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100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22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Болт 6х20  оцинкованный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1650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23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Гайка М6  оцинкованная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1650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269" w:hRule="exact"/>
        </w:trPr>
        <w:tc>
          <w:tcPr>
            <w:tcW w:w="671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24</w:t>
            </w:r>
          </w:p>
        </w:tc>
        <w:tc>
          <w:tcPr>
            <w:tcW w:w="5343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Шайба под болт М6 стандартаная оцинкованная</w:t>
            </w:r>
          </w:p>
        </w:tc>
        <w:tc>
          <w:tcPr>
            <w:tcW w:w="840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шт</w:t>
            </w:r>
          </w:p>
        </w:tc>
        <w:tc>
          <w:tcPr>
            <w:tcW w:w="714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lang w:val="ru-RU"/>
              </w:rPr>
              <w:t>3300</w:t>
            </w:r>
          </w:p>
        </w:tc>
        <w:tc>
          <w:tcPr>
            <w:tcW w:w="1942" w:type="dxa"/>
            <w:tcBorders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tbl>
      <w:tblPr>
        <w:tblStyle w:val="25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2"/>
        <w:gridCol w:w="985"/>
        <w:gridCol w:w="749"/>
        <w:gridCol w:w="1984"/>
      </w:tblGrid>
      <w:tr>
        <w:trPr>
          <w:trHeight w:val="960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 xml:space="preserve">Коробка установочная(подразетник)  </w:t>
            </w:r>
            <w:r>
              <w:rPr>
                <w:rFonts w:cs="Calibri"/>
                <w:b w:val="false"/>
                <w:sz w:val="22"/>
                <w:lang w:val="en-US"/>
              </w:rPr>
              <w:t>KOPOS</w:t>
            </w:r>
            <w:r>
              <w:rPr>
                <w:rFonts w:cs="Calibri"/>
                <w:b w:val="false"/>
                <w:sz w:val="22"/>
                <w:lang w:val="ru-RU"/>
              </w:rPr>
              <w:t xml:space="preserve">  К73-70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240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  <w:t>электротех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tbl>
      <w:tblPr>
        <w:tblStyle w:val="25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2"/>
        <w:gridCol w:w="985"/>
        <w:gridCol w:w="749"/>
        <w:gridCol w:w="1984"/>
      </w:tblGrid>
      <w:tr>
        <w:trPr>
          <w:trHeight w:val="1365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Гофротруба ПВХ диаметр 20мм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м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200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</w:r>
          </w:p>
        </w:tc>
      </w:tr>
      <w:tr>
        <w:trPr>
          <w:trHeight w:val="900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Муфта вводная для гофротрубы ПВХ диам.20 мм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20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</w:r>
          </w:p>
        </w:tc>
      </w:tr>
      <w:tr>
        <w:trPr>
          <w:trHeight w:val="690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Держатель (клипса) для  гофротубы ПВХ диам. 20 мм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300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</w:r>
          </w:p>
        </w:tc>
      </w:tr>
      <w:tr>
        <w:trPr>
          <w:trHeight w:val="780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Муфта соединительная для ПВХ гофротрубы д.20 мм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20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  <w:t xml:space="preserve"> </w:t>
            </w:r>
            <w:r>
              <w:rPr>
                <w:rFonts w:cs="Calibri"/>
                <w:b w:val="false"/>
                <w:sz w:val="22"/>
              </w:rPr>
              <w:t>электротех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tbl>
      <w:tblPr>
        <w:tblStyle w:val="25"/>
        <w:tblW w:w="94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2"/>
        <w:gridCol w:w="985"/>
        <w:gridCol w:w="749"/>
        <w:gridCol w:w="1984"/>
      </w:tblGrid>
      <w:tr>
        <w:trPr/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Коробка протяжная 200х200х100 У996У2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шт.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en-US"/>
              </w:rPr>
              <w:t>21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  <w:t>электротех</w:t>
            </w:r>
          </w:p>
        </w:tc>
      </w:tr>
      <w:tr>
        <w:trPr>
          <w:trHeight w:val="309" w:hRule="exact"/>
        </w:trPr>
        <w:tc>
          <w:tcPr>
            <w:tcW w:w="5702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 xml:space="preserve">Гильза для обжима проводов  </w:t>
            </w:r>
            <w:r>
              <w:rPr>
                <w:rFonts w:cs="Calibri"/>
                <w:b w:val="false"/>
                <w:sz w:val="22"/>
                <w:lang w:val="en-US"/>
              </w:rPr>
              <w:t xml:space="preserve">MASD </w:t>
            </w:r>
            <w:r>
              <w:rPr>
                <w:rFonts w:cs="Calibri"/>
                <w:b w:val="false"/>
                <w:sz w:val="22"/>
                <w:lang w:val="ru-RU"/>
              </w:rPr>
              <w:t>3мм</w:t>
            </w:r>
          </w:p>
        </w:tc>
        <w:tc>
          <w:tcPr>
            <w:tcW w:w="985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шт</w:t>
            </w:r>
          </w:p>
        </w:tc>
        <w:tc>
          <w:tcPr>
            <w:tcW w:w="749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  <w:lang w:val="ru-RU"/>
              </w:rPr>
              <w:t>50</w:t>
            </w:r>
          </w:p>
        </w:tc>
        <w:tc>
          <w:tcPr>
            <w:tcW w:w="198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Calibri" w:hAnsi="Calibri" w:cs="Calibri"/>
                <w:b w:val="false"/>
                <w:b w:val="false"/>
                <w:sz w:val="22"/>
              </w:rPr>
            </w:pPr>
            <w:r>
              <w:rPr>
                <w:rFonts w:cs="Calibri"/>
                <w:b w:val="false"/>
                <w:sz w:val="22"/>
              </w:rPr>
              <w:t>электротех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 w:before="0" w:after="200"/>
        <w:rPr>
          <w:rFonts w:ascii="Arial" w:hAnsi="Arial" w:cs="Arial"/>
          <w:b w:val="false"/>
          <w:b w:val="false"/>
          <w:sz w:val="22"/>
          <w:lang w:val="ru-RU"/>
        </w:rPr>
      </w:pPr>
      <w:r>
        <w:rPr/>
      </w:r>
    </w:p>
    <w:sectPr>
      <w:type w:val="nextPage"/>
      <w:pgSz w:w="12240" w:h="15840"/>
      <w:pgMar w:left="1800" w:right="1800" w:header="0" w:top="297" w:footer="0" w:bottom="9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99"/>
    <w:lsdException w:name="annotation text" w:uiPriority="0" w:semiHidden="0" w:unhideWhenUsed="0"/>
    <w:lsdException w:name="header" w:uiPriority="99" w:semiHidden="0" w:qFormat="1"/>
    <w:lsdException w:name="footer" w:uiPriority="99" w:semiHidden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99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99"/>
    <w:lsdException w:name="endnote text" w:uiPriority="99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1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11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qFormat="1"/>
    <w:lsdException w:name="FollowedHyperlink" w:uiPriority="0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99" w:qFormat="1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59" w:semiHidden="0" w:unhideWhenUsed="0"/>
    <w:lsdException w:name="Table Theme" w:uiPriority="0" w:semiHidden="0" w:unhideWhenUsed="0"/>
    <w:lsdException w:name="No Spacing" w:uiPriority="1" w:semiHidden="0" w:unhideWhenUsed="0" w:qFormat="1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27"/>
    <w:uiPriority w:val="9"/>
    <w:qFormat/>
    <w:pPr>
      <w:keepNext w:val="true"/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8"/>
    <w:uiPriority w:val="9"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29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paragraph" w:styleId="4">
    <w:name w:val="Heading 4"/>
    <w:basedOn w:val="Normal"/>
    <w:next w:val="Normal"/>
    <w:link w:val="30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paragraph" w:styleId="5">
    <w:name w:val="Heading 5"/>
    <w:basedOn w:val="Normal"/>
    <w:next w:val="Normal"/>
    <w:link w:val="31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243F60"/>
    </w:rPr>
  </w:style>
  <w:style w:type="paragraph" w:styleId="6">
    <w:name w:val="Heading 6"/>
    <w:basedOn w:val="Normal"/>
    <w:next w:val="Normal"/>
    <w:link w:val="32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243F60"/>
    </w:rPr>
  </w:style>
  <w:style w:type="paragraph" w:styleId="7">
    <w:name w:val="Heading 7"/>
    <w:basedOn w:val="Normal"/>
    <w:next w:val="Normal"/>
    <w:link w:val="33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/>
    </w:rPr>
  </w:style>
  <w:style w:type="paragraph" w:styleId="8">
    <w:name w:val="Heading 8"/>
    <w:basedOn w:val="Normal"/>
    <w:next w:val="Normal"/>
    <w:link w:val="34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404040"/>
      <w:sz w:val="20"/>
      <w:szCs w:val="20"/>
    </w:rPr>
  </w:style>
  <w:style w:type="paragraph" w:styleId="9">
    <w:name w:val="Heading 9"/>
    <w:basedOn w:val="Normal"/>
    <w:next w:val="Normal"/>
    <w:link w:val="35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7">
    <w:name w:val="Выделение"/>
    <w:basedOn w:val="DefaultParagraphFont"/>
    <w:uiPriority w:val="20"/>
    <w:qFormat/>
    <w:rPr>
      <w:i/>
      <w:iCs/>
    </w:rPr>
  </w:style>
  <w:style w:type="character" w:styleId="Style8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eading1Char" w:customStyle="1">
    <w:name w:val="Heading 1 Char"/>
    <w:basedOn w:val="DefaultParagraphFont"/>
    <w:link w:val="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/>
    </w:rPr>
  </w:style>
  <w:style w:type="character" w:styleId="Heading4Char" w:customStyle="1">
    <w:name w:val="Heading 4 Char"/>
    <w:basedOn w:val="DefaultParagraphFont"/>
    <w:link w:val="5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/>
    </w:rPr>
  </w:style>
  <w:style w:type="character" w:styleId="Heading5Char" w:customStyle="1">
    <w:name w:val="Heading 5 Char"/>
    <w:basedOn w:val="DefaultParagraphFont"/>
    <w:link w:val="6"/>
    <w:uiPriority w:val="9"/>
    <w:qFormat/>
    <w:rPr>
      <w:rFonts w:ascii="Cambria" w:hAnsi="Cambria" w:eastAsia="" w:cs="" w:asciiTheme="majorHAnsi" w:cstheme="majorBidi" w:eastAsiaTheme="majorEastAsia" w:hAnsiTheme="majorHAnsi"/>
      <w:color w:val="243F60"/>
    </w:rPr>
  </w:style>
  <w:style w:type="character" w:styleId="Heading6Char" w:customStyle="1">
    <w:name w:val="Heading 6 Char"/>
    <w:basedOn w:val="DefaultParagraphFont"/>
    <w:link w:val="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/>
    </w:rPr>
  </w:style>
  <w:style w:type="character" w:styleId="Heading7Char" w:customStyle="1">
    <w:name w:val="Heading 7 Char"/>
    <w:basedOn w:val="DefaultParagraphFont"/>
    <w:link w:val="8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/>
    </w:rPr>
  </w:style>
  <w:style w:type="character" w:styleId="Heading8Char" w:customStyle="1">
    <w:name w:val="Heading 8 Char"/>
    <w:basedOn w:val="DefaultParagraphFont"/>
    <w:link w:val="9"/>
    <w:uiPriority w:val="9"/>
    <w:qFormat/>
    <w:rPr>
      <w:rFonts w:ascii="Cambria" w:hAnsi="Cambria" w:eastAsia="" w:cs="" w:asciiTheme="majorHAnsi" w:cstheme="majorBidi" w:eastAsiaTheme="majorEastAsia" w:hAnsiTheme="majorHAnsi"/>
      <w:color w:val="404040"/>
      <w:sz w:val="20"/>
      <w:szCs w:val="20"/>
    </w:rPr>
  </w:style>
  <w:style w:type="character" w:styleId="Heading9Char" w:customStyle="1">
    <w:name w:val="Heading 9 Char"/>
    <w:basedOn w:val="DefaultParagraphFont"/>
    <w:link w:val="10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/>
      <w:sz w:val="20"/>
      <w:szCs w:val="20"/>
    </w:rPr>
  </w:style>
  <w:style w:type="character" w:styleId="TitleChar" w:customStyle="1">
    <w:name w:val="Title Char"/>
    <w:basedOn w:val="DefaultParagraphFont"/>
    <w:link w:val="22"/>
    <w:uiPriority w:val="10"/>
    <w:qFormat/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24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  <w:color w:val="808080"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QuoteChar" w:customStyle="1">
    <w:name w:val="Quote Char"/>
    <w:basedOn w:val="DefaultParagraphFont"/>
    <w:link w:val="40"/>
    <w:uiPriority w:val="29"/>
    <w:qFormat/>
    <w:rPr>
      <w:i/>
      <w:iCs/>
      <w:color w:val="000000"/>
    </w:rPr>
  </w:style>
  <w:style w:type="character" w:styleId="IntenseQuoteChar" w:customStyle="1">
    <w:name w:val="Intense Quote Char"/>
    <w:basedOn w:val="DefaultParagraphFont"/>
    <w:link w:val="42"/>
    <w:uiPriority w:val="30"/>
    <w:qFormat/>
    <w:rPr>
      <w:b/>
      <w:bCs/>
      <w:i/>
      <w:iCs/>
      <w:color w:val="4F81BD"/>
    </w:rPr>
  </w:style>
  <w:style w:type="character" w:styleId="SubtleReference" w:customStyle="1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 w:customStyle="1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20"/>
    <w:uiPriority w:val="99"/>
    <w:semiHidden/>
    <w:qFormat/>
    <w:rPr>
      <w:sz w:val="20"/>
      <w:szCs w:val="20"/>
    </w:rPr>
  </w:style>
  <w:style w:type="character" w:styleId="EndnoteTextChar" w:customStyle="1">
    <w:name w:val="Endnote Text Char"/>
    <w:basedOn w:val="DefaultParagraphFont"/>
    <w:link w:val="19"/>
    <w:uiPriority w:val="99"/>
    <w:semiHidden/>
    <w:qFormat/>
    <w:rPr>
      <w:sz w:val="20"/>
      <w:szCs w:val="20"/>
    </w:rPr>
  </w:style>
  <w:style w:type="character" w:styleId="PlainTextChar" w:customStyle="1">
    <w:name w:val="Plain Text Char"/>
    <w:basedOn w:val="DefaultParagraphFont"/>
    <w:link w:val="18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link w:val="21"/>
    <w:uiPriority w:val="99"/>
    <w:qFormat/>
    <w:rPr/>
  </w:style>
  <w:style w:type="character" w:styleId="FooterChar" w:customStyle="1">
    <w:name w:val="Footer Char"/>
    <w:basedOn w:val="DefaultParagraphFont"/>
    <w:link w:val="23"/>
    <w:uiPriority w:val="99"/>
    <w:qFormat/>
    <w:rPr/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Noto Sans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Noto Sans Devanagari"/>
    </w:rPr>
  </w:style>
  <w:style w:type="paragraph" w:styleId="PlainText">
    <w:name w:val="Plain Text"/>
    <w:basedOn w:val="Normal"/>
    <w:link w:val="50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Style14">
    <w:name w:val="Endnote Text"/>
    <w:basedOn w:val="Normal"/>
    <w:link w:val="49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Style15">
    <w:name w:val="Footnote Text"/>
    <w:basedOn w:val="Normal"/>
    <w:link w:val="48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51"/>
    <w:uiPriority w:val="99"/>
    <w:unhideWhenUsed/>
    <w:qFormat/>
    <w:pPr>
      <w:spacing w:lineRule="auto" w:line="240" w:before="0" w:after="0"/>
    </w:pPr>
    <w:rPr/>
  </w:style>
  <w:style w:type="paragraph" w:styleId="Style18">
    <w:name w:val="Title"/>
    <w:basedOn w:val="Normal"/>
    <w:next w:val="Normal"/>
    <w:link w:val="36"/>
    <w:uiPriority w:val="10"/>
    <w:qFormat/>
    <w:pPr>
      <w:pBdr>
        <w:bottom w:val="single" w:sz="8" w:space="0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tyle19">
    <w:name w:val="Footer"/>
    <w:basedOn w:val="Normal"/>
    <w:link w:val="52"/>
    <w:uiPriority w:val="99"/>
    <w:unhideWhenUsed/>
    <w:pPr>
      <w:spacing w:lineRule="auto" w:line="240" w:before="0" w:after="0"/>
    </w:pPr>
    <w:rPr/>
  </w:style>
  <w:style w:type="paragraph" w:styleId="Style20">
    <w:name w:val="Subtitle"/>
    <w:basedOn w:val="Normal"/>
    <w:next w:val="Normal"/>
    <w:link w:val="37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cstheme="minorHAnsi" w:eastAsiaTheme="minorHAnsi" w:hAnsiTheme="minorHAnsi"/>
      <w:color w:val="auto"/>
      <w:kern w:val="0"/>
      <w:sz w:val="22"/>
      <w:szCs w:val="20"/>
      <w:lang w:val="ru-RU" w:eastAsia="zh-CN" w:bidi="hi-IN"/>
    </w:rPr>
  </w:style>
  <w:style w:type="paragraph" w:styleId="Quote">
    <w:name w:val="Quote"/>
    <w:basedOn w:val="Normal"/>
    <w:next w:val="Normal"/>
    <w:link w:val="41"/>
    <w:uiPriority w:val="29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link w:val="43"/>
    <w:uiPriority w:val="30"/>
    <w:qFormat/>
    <w:pPr>
      <w:pBdr>
        <w:bottom w:val="single" w:sz="4" w:space="0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default="1" w:styleId="1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3</Pages>
  <Words>474</Words>
  <Characters>2590</Characters>
  <CharactersWithSpaces>2934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2022-11-02T05:36:45Z</dcterms:created>
  <dc:creator>Оксана</dc:creator>
  <dc:description/>
  <dc:language>ru-RU</dc:language>
  <cp:lastModifiedBy/>
  <dcterms:modified xsi:type="dcterms:W3CDTF">2022-11-13T23:49:10Z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BAE8FB1AE58647D0B2188A4EB33A60DC</vt:lpwstr>
  </property>
  <property fmtid="{D5CDD505-2E9C-101B-9397-08002B2CF9AE}" pid="3" name="KSOProductBuildVer">
    <vt:lpwstr>1049-11.2.0.11380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