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>
        <w:tblInd w:w="5" w:type="dxa"/>
      </w:tblPr>
      <w:tblGrid>
        <w:gridCol w:w="1001"/>
        <w:gridCol w:w="12224"/>
        <w:gridCol w:w="1559"/>
        <w:gridCol w:w="1560"/>
        <w:gridCol w:w="1872"/>
        <w:gridCol w:w="821"/>
      </w:tblGrid>
      <w:tr>
        <w:trPr>
          <w:trHeight w:val="1560" w:hRule="auto"/>
          <w:jc w:val="left"/>
        </w:trPr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15" w:type="dxa"/>
            <w:gridSpan w:val="4"/>
            <w:vMerge w:val="restart"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40" w:hRule="auto"/>
          <w:jc w:val="left"/>
        </w:trPr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15" w:type="dxa"/>
            <w:gridSpan w:val="4"/>
            <w:vMerge/>
            <w:tcBorders>
              <w:top w:val="single" w:color="000000" w:sz="5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15" w:type="dxa"/>
            <w:gridSpan w:val="4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322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-10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товара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показателей товара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Единица измерения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показателя товара, которое не может изменяться участником закупки при подаче заявки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Кондиционер бытовой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кондиционера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сплит-система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Инверторный тип кондиционера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энергоэффективности (в режиме охлаждения)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Мощность в режиме охлаждения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Киловатт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Мощность в режиме нагрева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Киловатт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внутреннего блока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настенный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Холодопроизводительность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Киловатт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Теплопроизводительность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Киловатт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Максимальный уровень звукового давления внутреннего блока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дБ(А)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Длинна трассы хладагента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Длинна кабельной трассы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Длина дренажной трассы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хладагента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фреон R410A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Максимальный расход воздуха внутреннего блока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м3/час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Обоснование необходимости использования дополнительных показателей (характеристик)</w:t>
            </w:r>
          </w:p>
        </w:tc>
      </w:tr>
      <w:tr>
        <w:trPr>
          <w:trHeight w:val="20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ниже 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1,5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1,5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2,6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исходя из площади помещений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2,6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исходя из площади помещений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30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обеспечения комфортных условий 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комфортного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оптимального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5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оптимального расположения блоков в помещении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безопасной эксплуатации без вреда для окружающей среды</w:t>
            </w:r>
          </w:p>
        </w:tc>
      </w:tr>
      <w:tr>
        <w:trPr>
          <w:trHeight w:val="260" w:hRule="auto"/>
          <w:jc w:val="left"/>
        </w:trPr>
        <w:tc>
          <w:tcPr>
            <w:tcW w:w="1322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shd w:fill="auto" w:val="clear"/>
              </w:rPr>
              <w:t xml:space="preserve">≥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450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комфортных условий исходя из объема помещений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