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B93E" w14:textId="4126CA66" w:rsidR="00103D72" w:rsidRDefault="00C74770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В пределах одного типового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этажа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между наружным и ограждающими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конструкциями.Демонтируется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всё, за исключением ограждающих (наружные витражные конструкции, навесные стеновые панели, лестничные марши, лифтовые стены) и несущих (несущие металлоконструкции и плиты перекрытия) конструкций. План типового этажа - приложение № 2 к договору №        </w:t>
      </w:r>
      <w:r>
        <w:rPr>
          <w:rFonts w:ascii="Arial" w:hAnsi="Arial" w:cs="Arial"/>
          <w:color w:val="333333"/>
          <w:sz w:val="20"/>
          <w:szCs w:val="20"/>
        </w:rPr>
        <w:br/>
        <w:t>Виды работ:</w:t>
      </w:r>
      <w:r>
        <w:rPr>
          <w:rFonts w:ascii="Arial" w:hAnsi="Arial" w:cs="Arial"/>
          <w:color w:val="333333"/>
          <w:sz w:val="20"/>
          <w:szCs w:val="20"/>
        </w:rPr>
        <w:br/>
        <w:t>Разборка деревянных подвесных потолков из плит акмигран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закладных деталей весом до 4 кг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потолков подвесных алюминиевых панельных перфорированных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армирующей сетки (лобики)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металлического каркаса из уголка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Снятие подоконных досок деревянных в каменных зданиях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каркаса из бруса 50*50 под подоконником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армирования кладки стен и других конструкций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Разборка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мелкоблочных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стен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кирпичных стен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деревянных перегородок оштукатуренных щитовых и дощатых однослойных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деревянных передаточных межкомнатных коробок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унитазов и писсуаров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умывальников и раковин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перегородок каркасно-филенчатых в санузлах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плитки и штукатурки со стен в санузлах.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плинтусов деревянных и из пластмассовых материалов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покрытий полов из линолеума и релина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покрытий полов паркетных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покрытий полов цементных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Демонтаж гидроизоляции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оклеечной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(2 слоя)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Демонтаж армирования подстилающих слоев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набетонок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тепло- и звукоизоляции засыпной керамзитовой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труб в полах со скрытой проводкой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проводов из труб суммарным сечением до 6 мм2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плинтусов цементных и из керамической плитки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покрытий полов из керамических плиток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люков герметических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Разборка покрытий полов цементных (стяжек)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Демонтаж гидроизоляции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оклеечной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(2 слоя)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Демонтаж армирования подстилающих слоев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набетонок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Демонтаж тепло- и звукоизоляции засыпной керамзитовой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Перемещение демонтируемого материала в пределах этажа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Погрузка демонтируемого материала в мусорный контейнер (выбрасывание в строительный мусороприемник)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  <w:t>При демонтаже неполного этажа расчет за выполненные работы ведется при условии демонтажа, перемещения и погрузки мусора не менее 30 % площади этажа.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Строго не судимые граждане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РФ.Инструмент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требуется. По будням рабочих от метро забирает и привозит назад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автобус.Иногородним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проживание в общежитии в части бесплатно. Возможно питание на территории части в счёт аванса, смена-от 2000 рублей (наличными).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График:с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7:30 до 18:30,обед с 13:00-14:00)</w:t>
      </w:r>
      <w:r>
        <w:rPr>
          <w:rFonts w:ascii="Arial" w:hAnsi="Arial" w:cs="Arial"/>
          <w:color w:val="333333"/>
          <w:sz w:val="20"/>
          <w:szCs w:val="20"/>
        </w:rPr>
        <w:br/>
        <w:t xml:space="preserve">Так же на подряд требуются: ИП и ООО-1600 рублей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(без НДС) Расчет производится два раза в месяц по факту выполненных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работ.Площадь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8600 кв.м89016996369Всего, без НДС: 13 860 000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руб</w:t>
      </w:r>
      <w:proofErr w:type="spellEnd"/>
    </w:p>
    <w:sectPr w:rsidR="001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B"/>
    <w:rsid w:val="00103D72"/>
    <w:rsid w:val="009B250B"/>
    <w:rsid w:val="00B766B8"/>
    <w:rsid w:val="00C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E735"/>
  <w15:chartTrackingRefBased/>
  <w15:docId w15:val="{638F4570-8EE7-4BA9-A1B7-8775774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2022-09-01T08:13:00Z</dcterms:created>
  <dcterms:modified xsi:type="dcterms:W3CDTF">2022-09-01T08:13:00Z</dcterms:modified>
</cp:coreProperties>
</file>