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ind w:firstLine="567"/>
        <w:jc w:val="both"/>
        <w:rPr>
          <w:rFonts w:ascii="Times New Roman" w:hAnsi="Times New Roman"/>
          <w:sz w:val="24"/>
        </w:rPr>
      </w:pPr>
    </w:p>
    <w:tbl>
      <w:tblPr>
        <w:tblStyle w:val="Style_2"/>
        <w:tblInd w:type="dxa" w:w="108"/>
        <w:tblLayout w:type="fixed"/>
      </w:tblPr>
      <w:tblGrid>
        <w:gridCol w:w="709"/>
        <w:gridCol w:w="3827"/>
        <w:gridCol w:w="4111"/>
        <w:gridCol w:w="991"/>
      </w:tblGrid>
      <w:tr>
        <w:trPr>
          <w:trHeight w:hRule="atLeast" w:val="595"/>
        </w:trPr>
        <w:tc>
          <w:tcPr>
            <w:tcW w:type="dxa" w:w="709"/>
          </w:tcPr>
          <w:p/>
        </w:tc>
        <w:tc>
          <w:tcPr>
            <w:tcW w:type="dxa" w:w="3827"/>
          </w:tcPr>
          <w:p/>
        </w:tc>
        <w:tc>
          <w:tcPr>
            <w:tcW w:type="dxa" w:w="4111"/>
          </w:tcPr>
          <w:p/>
        </w:tc>
        <w:tc>
          <w:tcPr>
            <w:tcW w:type="dxa" w:w="991"/>
          </w:tcPr>
          <w:p/>
        </w:tc>
      </w:tr>
      <w:tr>
        <w:trPr>
          <w:trHeight w:hRule="atLeast" w:val="689"/>
        </w:trPr>
        <w:tc>
          <w:tcPr>
            <w:tcW w:type="dxa" w:w="709"/>
            <w:vMerge w:val="restart"/>
            <w:tcBorders>
              <w:top w:sz="4" w:val="nil"/>
              <w:left w:color="000000" w:sz="4" w:val="single"/>
              <w:bottom w:color="000000" w:sz="4" w:val="single"/>
              <w:right w:color="000000" w:sz="4" w:val="single"/>
            </w:tcBorders>
            <w:vAlign w:val="center"/>
          </w:tcPr>
          <w:p w14:paraId="02000000">
            <w:pPr>
              <w:ind w:firstLine="34"/>
              <w:jc w:val="center"/>
              <w:rPr>
                <w:b w:val="1"/>
                <w:sz w:val="22"/>
              </w:rPr>
            </w:pPr>
            <w:r>
              <w:rPr>
                <w:b w:val="1"/>
                <w:sz w:val="22"/>
              </w:rPr>
              <w:t>1</w:t>
            </w:r>
          </w:p>
        </w:tc>
        <w:tc>
          <w:tcPr>
            <w:tcW w:type="dxa" w:w="3827"/>
            <w:vMerge w:val="restart"/>
            <w:tcBorders>
              <w:top w:sz="4" w:val="nil"/>
              <w:left w:color="000000" w:sz="4" w:val="single"/>
              <w:bottom w:color="000000" w:sz="4" w:val="single"/>
              <w:right w:color="000000" w:sz="4" w:val="single"/>
            </w:tcBorders>
            <w:shd w:fill="auto" w:val="clear"/>
            <w:vAlign w:val="center"/>
          </w:tcPr>
          <w:p w14:paraId="03000000">
            <w:pPr>
              <w:ind/>
              <w:jc w:val="center"/>
              <w:rPr>
                <w:sz w:val="22"/>
              </w:rPr>
            </w:pPr>
            <w:r>
              <w:rPr>
                <w:color w:val="000000"/>
                <w:sz w:val="22"/>
              </w:rPr>
              <w:br/>
            </w:r>
            <w:r>
              <w:rPr>
                <w:color w:val="000000"/>
                <w:sz w:val="22"/>
              </w:rPr>
              <w:t>Двухкомпонентный недренируемый калоприемник в комплекте: адгезивная пластина, плоская; мешок недренируемый</w:t>
            </w:r>
          </w:p>
        </w:tc>
        <w:tc>
          <w:tcPr>
            <w:tcW w:type="dxa" w:w="4111"/>
            <w:tcBorders>
              <w:top w:sz="4" w:val="nil"/>
              <w:left w:sz="4" w:val="nil"/>
              <w:bottom w:color="000000" w:sz="4" w:val="single"/>
              <w:right w:color="000000" w:sz="4" w:val="single"/>
            </w:tcBorders>
            <w:shd w:fill="FFFFFF" w:val="clear"/>
          </w:tcPr>
          <w:p w14:paraId="04000000">
            <w:pPr>
              <w:rPr>
                <w:sz w:val="22"/>
              </w:rPr>
            </w:pPr>
            <w:r>
              <w:rPr>
                <w:rFonts w:ascii="Times New Roman CYR" w:hAnsi="Times New Roman CYR"/>
                <w:color w:val="000000"/>
                <w:sz w:val="22"/>
              </w:rPr>
              <w:t xml:space="preserve">Калоприемник для кишечной стомы закрытого типа (не дренируемый), многокомпонентный, в составе 1 пластина и 6 мешков, с комплементарным фланцевым соединением. </w:t>
            </w:r>
            <w:r>
              <w:rPr>
                <w:rFonts w:ascii="Times New Roman CYR" w:hAnsi="Times New Roman CYR"/>
                <w:b w:val="1"/>
                <w:color w:val="000000"/>
                <w:sz w:val="22"/>
              </w:rPr>
              <w:t>Адгезивная пластина плоская</w:t>
            </w:r>
            <w:r>
              <w:rPr>
                <w:rFonts w:ascii="Times New Roman CYR" w:hAnsi="Times New Roman CYR"/>
                <w:color w:val="000000"/>
                <w:sz w:val="22"/>
              </w:rPr>
              <w:t xml:space="preserve"> гидроколлоидная гипоаллергенная, с защитным покрытием с шаблоном для вырезания отверстия под стому, с фланцем для крепления мешка, соответствующим фланцу мешка. Диаметр фланца не менее </w:t>
            </w:r>
            <w:r>
              <w:rPr>
                <w:rFonts w:ascii="Times New Roman CYR" w:hAnsi="Times New Roman CYR"/>
                <w:color w:val="000000"/>
                <w:sz w:val="22"/>
              </w:rPr>
              <w:t>70 мм.</w:t>
            </w:r>
          </w:p>
        </w:tc>
        <w:tc>
          <w:tcPr>
            <w:tcW w:type="dxa" w:w="991"/>
            <w:tcBorders>
              <w:top w:sz="4" w:val="nil"/>
              <w:left w:sz="4" w:val="nil"/>
              <w:bottom w:color="000000" w:sz="4" w:val="single"/>
              <w:right w:color="000000" w:sz="4" w:val="single"/>
            </w:tcBorders>
            <w:shd w:fill="FFFFFF" w:val="clear"/>
          </w:tcPr>
          <w:p w14:paraId="05000000">
            <w:pPr>
              <w:ind/>
              <w:jc w:val="center"/>
              <w:rPr>
                <w:sz w:val="22"/>
              </w:rPr>
            </w:pPr>
          </w:p>
          <w:p w14:paraId="06000000">
            <w:pPr>
              <w:ind/>
              <w:jc w:val="center"/>
              <w:rPr>
                <w:sz w:val="22"/>
              </w:rPr>
            </w:pPr>
          </w:p>
          <w:p w14:paraId="07000000">
            <w:pPr>
              <w:ind/>
              <w:jc w:val="center"/>
              <w:rPr>
                <w:sz w:val="22"/>
              </w:rPr>
            </w:pPr>
          </w:p>
          <w:p w14:paraId="08000000">
            <w:pPr>
              <w:ind/>
              <w:jc w:val="center"/>
              <w:rPr>
                <w:sz w:val="22"/>
              </w:rPr>
            </w:pPr>
          </w:p>
          <w:p w14:paraId="09000000">
            <w:pPr>
              <w:ind/>
              <w:jc w:val="center"/>
              <w:rPr>
                <w:sz w:val="22"/>
              </w:rPr>
            </w:pPr>
            <w:r>
              <w:rPr>
                <w:sz w:val="22"/>
              </w:rPr>
              <w:t>9 380</w:t>
            </w:r>
          </w:p>
        </w:tc>
      </w:tr>
      <w:tr>
        <w:trPr>
          <w:trHeight w:hRule="atLeast" w:val="540"/>
        </w:trPr>
        <w:tc>
          <w:tcPr>
            <w:tcW w:type="dxa" w:w="709"/>
            <w:gridSpan w:val="1"/>
            <w:vMerge w:val="continue"/>
            <w:tcBorders>
              <w:top w:sz="4" w:val="nil"/>
              <w:left w:color="000000" w:sz="4" w:val="single"/>
              <w:bottom w:color="000000" w:sz="4" w:val="single"/>
              <w:right w:color="000000" w:sz="4" w:val="single"/>
            </w:tcBorders>
            <w:vAlign w:val="center"/>
          </w:tcPr>
          <w:p/>
        </w:tc>
        <w:tc>
          <w:tcPr>
            <w:tcW w:type="dxa" w:w="3827"/>
            <w:gridSpan w:val="1"/>
            <w:vMerge w:val="continue"/>
            <w:tcBorders>
              <w:top w:sz="4" w:val="nil"/>
              <w:left w:color="000000" w:sz="4" w:val="single"/>
              <w:bottom w:color="000000" w:sz="4" w:val="single"/>
              <w:right w:color="000000" w:sz="4" w:val="single"/>
            </w:tcBorders>
            <w:shd w:fill="auto" w:val="clear"/>
            <w:vAlign w:val="center"/>
          </w:tcPr>
          <w:p/>
        </w:tc>
        <w:tc>
          <w:tcPr>
            <w:tcW w:type="dxa" w:w="4111"/>
            <w:tcBorders>
              <w:top w:sz="4" w:val="nil"/>
              <w:left w:sz="4" w:val="nil"/>
              <w:bottom w:color="000000" w:sz="4" w:val="single"/>
              <w:right w:color="000000" w:sz="4" w:val="single"/>
            </w:tcBorders>
            <w:shd w:fill="FFFFFF" w:val="clear"/>
          </w:tcPr>
          <w:p w14:paraId="0A000000">
            <w:pPr>
              <w:rPr>
                <w:sz w:val="22"/>
              </w:rPr>
            </w:pPr>
            <w:r>
              <w:rPr>
                <w:rFonts w:ascii="Times New Roman CYR" w:hAnsi="Times New Roman CYR"/>
                <w:b w:val="1"/>
                <w:color w:val="000000"/>
                <w:sz w:val="22"/>
              </w:rPr>
              <w:t>Мешок закрытого типа (недренируемый)</w:t>
            </w:r>
            <w:r>
              <w:rPr>
                <w:rFonts w:ascii="Times New Roman CYR" w:hAnsi="Times New Roman CYR"/>
                <w:color w:val="000000"/>
                <w:sz w:val="22"/>
              </w:rPr>
              <w:t xml:space="preserve">  для присоединения к агдезивной пластине, с фланцем для крепления к пластине, соответствующим фланцу пластины, из многослойного, не пропускающего запах, непрозрачного полиэтилена, с односторонним или двусторонним мягким нетканым покрытием, с фильтром. Наличие специальных наклеек- заглушек для фильтра, закрывающие вентиляционное отверстие для кишечных газов и защищающие фильтр от воды. </w:t>
            </w:r>
            <w:r>
              <w:rPr>
                <w:rFonts w:ascii="Times New Roman CYR" w:hAnsi="Times New Roman CYR"/>
                <w:sz w:val="22"/>
              </w:rPr>
              <w:t>Диаметр фланца мешка строго соответствует диаметру фланца адгезивной пластины</w:t>
            </w:r>
            <w:r>
              <w:rPr>
                <w:rFonts w:ascii="Times New Roman CYR" w:hAnsi="Times New Roman CYR"/>
                <w:sz w:val="22"/>
              </w:rPr>
              <w:t>.</w:t>
            </w:r>
          </w:p>
        </w:tc>
        <w:tc>
          <w:tcPr>
            <w:tcW w:type="dxa" w:w="991"/>
            <w:tcBorders>
              <w:top w:sz="4" w:val="nil"/>
              <w:left w:sz="4" w:val="nil"/>
              <w:bottom w:color="000000" w:sz="4" w:val="single"/>
              <w:right w:color="000000" w:sz="4" w:val="single"/>
            </w:tcBorders>
            <w:shd w:fill="FFFFFF" w:val="clear"/>
          </w:tcPr>
          <w:p w14:paraId="0B000000">
            <w:pPr>
              <w:ind/>
              <w:jc w:val="center"/>
              <w:rPr>
                <w:sz w:val="22"/>
              </w:rPr>
            </w:pPr>
          </w:p>
          <w:p w14:paraId="0C000000">
            <w:pPr>
              <w:ind/>
              <w:jc w:val="center"/>
              <w:rPr>
                <w:sz w:val="22"/>
              </w:rPr>
            </w:pPr>
          </w:p>
          <w:p w14:paraId="0D000000">
            <w:pPr>
              <w:ind/>
              <w:jc w:val="center"/>
              <w:rPr>
                <w:sz w:val="22"/>
              </w:rPr>
            </w:pPr>
          </w:p>
          <w:p w14:paraId="0E000000">
            <w:pPr>
              <w:ind/>
              <w:jc w:val="center"/>
              <w:rPr>
                <w:sz w:val="22"/>
              </w:rPr>
            </w:pPr>
          </w:p>
          <w:p w14:paraId="0F000000">
            <w:pPr>
              <w:ind/>
              <w:jc w:val="center"/>
              <w:rPr>
                <w:sz w:val="22"/>
              </w:rPr>
            </w:pPr>
          </w:p>
          <w:p w14:paraId="10000000">
            <w:pPr>
              <w:ind/>
              <w:jc w:val="center"/>
              <w:rPr>
                <w:sz w:val="22"/>
              </w:rPr>
            </w:pPr>
            <w:r>
              <w:rPr>
                <w:sz w:val="22"/>
              </w:rPr>
              <w:t>56 280</w:t>
            </w:r>
          </w:p>
        </w:tc>
      </w:tr>
    </w:tbl>
    <w:p w14:paraId="11000000">
      <w:pPr>
        <w:pStyle w:val="Style_1"/>
        <w:ind w:firstLine="567"/>
        <w:jc w:val="both"/>
        <w:rPr>
          <w:rFonts w:ascii="Times New Roman" w:hAnsi="Times New Roman"/>
        </w:rPr>
      </w:pPr>
    </w:p>
    <w:p w14:paraId="12000000">
      <w:pPr>
        <w:ind w:firstLine="567"/>
        <w:jc w:val="both"/>
      </w:pPr>
    </w:p>
    <w:p w14:paraId="13000000">
      <w:pPr>
        <w:ind w:firstLine="709"/>
        <w:jc w:val="both"/>
      </w:pPr>
    </w:p>
    <w:sectPr>
      <w:pgSz w:h="16838" w:w="11906"/>
      <w:pgMar w:bottom="709" w:footer="709" w:gutter="0" w:header="709" w:left="1559" w:right="1276"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heading 3"/>
    <w:next w:val="Style_3"/>
    <w:link w:val="Style_8_ch"/>
    <w:uiPriority w:val="9"/>
    <w:qFormat/>
    <w:pPr>
      <w:ind/>
      <w:outlineLvl w:val="2"/>
    </w:pPr>
    <w:rPr>
      <w:rFonts w:ascii="XO Thames" w:hAnsi="XO Thames"/>
      <w:b w:val="1"/>
      <w:i w:val="1"/>
      <w:color w:val="000000"/>
    </w:rPr>
  </w:style>
  <w:style w:styleId="Style_8_ch" w:type="character">
    <w:name w:val="heading 3"/>
    <w:link w:val="Style_8"/>
    <w:rPr>
      <w:rFonts w:ascii="XO Thames" w:hAnsi="XO Thames"/>
      <w:b w:val="1"/>
      <w:i w:val="1"/>
      <w:color w:val="000000"/>
    </w:rPr>
  </w:style>
  <w:style w:styleId="Style_9" w:type="paragraph">
    <w:name w:val="Body Text 2"/>
    <w:basedOn w:val="Style_3"/>
    <w:link w:val="Style_9_ch"/>
    <w:pPr>
      <w:ind/>
      <w:jc w:val="both"/>
    </w:pPr>
  </w:style>
  <w:style w:styleId="Style_9_ch" w:type="character">
    <w:name w:val="Body Text 2"/>
    <w:basedOn w:val="Style_3_ch"/>
    <w:link w:val="Style_9"/>
  </w:style>
  <w:style w:styleId="Style_10" w:type="paragraph">
    <w:name w:val="headertext"/>
    <w:basedOn w:val="Style_3"/>
    <w:link w:val="Style_10_ch"/>
    <w:pPr>
      <w:spacing w:afterAutospacing="on" w:beforeAutospacing="on"/>
      <w:ind/>
    </w:pPr>
  </w:style>
  <w:style w:styleId="Style_10_ch" w:type="character">
    <w:name w:val="headertext"/>
    <w:basedOn w:val="Style_3_ch"/>
    <w:link w:val="Style_10"/>
  </w:style>
  <w:style w:styleId="Style_11" w:type="paragraph">
    <w:name w:val="Style3"/>
    <w:basedOn w:val="Style_3"/>
    <w:link w:val="Style_11_ch"/>
    <w:pPr>
      <w:spacing w:after="200" w:line="367" w:lineRule="exact"/>
      <w:ind/>
      <w:jc w:val="center"/>
    </w:pPr>
    <w:rPr>
      <w:sz w:val="28"/>
    </w:rPr>
  </w:style>
  <w:style w:styleId="Style_11_ch" w:type="character">
    <w:name w:val="Style3"/>
    <w:basedOn w:val="Style_3_ch"/>
    <w:link w:val="Style_11"/>
    <w:rPr>
      <w:sz w:val="28"/>
    </w:rPr>
  </w:style>
  <w:style w:styleId="Style_12" w:type="paragraph">
    <w:name w:val="Style74"/>
    <w:basedOn w:val="Style_3"/>
    <w:link w:val="Style_12_ch"/>
    <w:pPr>
      <w:spacing w:after="200" w:line="276" w:lineRule="auto"/>
      <w:ind/>
    </w:pPr>
    <w:rPr>
      <w:sz w:val="28"/>
    </w:rPr>
  </w:style>
  <w:style w:styleId="Style_12_ch" w:type="character">
    <w:name w:val="Style74"/>
    <w:basedOn w:val="Style_3_ch"/>
    <w:link w:val="Style_12"/>
    <w:rPr>
      <w:sz w:val="28"/>
    </w:rPr>
  </w:style>
  <w:style w:styleId="Style_13" w:type="paragraph">
    <w:name w:val="Style70"/>
    <w:basedOn w:val="Style_3"/>
    <w:link w:val="Style_13_ch"/>
    <w:pPr>
      <w:spacing w:after="200" w:line="370" w:lineRule="exact"/>
      <w:ind w:hanging="835" w:left="835"/>
    </w:pPr>
    <w:rPr>
      <w:rFonts w:ascii="Calibri" w:hAnsi="Calibri"/>
      <w:sz w:val="22"/>
    </w:rPr>
  </w:style>
  <w:style w:styleId="Style_13_ch" w:type="character">
    <w:name w:val="Style70"/>
    <w:basedOn w:val="Style_3_ch"/>
    <w:link w:val="Style_13"/>
    <w:rPr>
      <w:rFonts w:ascii="Calibri" w:hAnsi="Calibri"/>
      <w:sz w:val="22"/>
    </w:rPr>
  </w:style>
  <w:style w:styleId="Style_14" w:type="paragraph">
    <w:name w:val="Знак1"/>
    <w:basedOn w:val="Style_3"/>
    <w:link w:val="Style_14_ch"/>
    <w:pPr>
      <w:spacing w:afterAutospacing="on" w:beforeAutospacing="on"/>
      <w:ind/>
    </w:pPr>
    <w:rPr>
      <w:rFonts w:ascii="Tahoma" w:hAnsi="Tahoma"/>
      <w:sz w:val="20"/>
    </w:rPr>
  </w:style>
  <w:style w:styleId="Style_14_ch" w:type="character">
    <w:name w:val="Знак1"/>
    <w:basedOn w:val="Style_3_ch"/>
    <w:link w:val="Style_14"/>
    <w:rPr>
      <w:rFonts w:ascii="Tahoma" w:hAnsi="Tahoma"/>
      <w:sz w:val="20"/>
    </w:rPr>
  </w:style>
  <w:style w:styleId="Style_1" w:type="paragraph">
    <w:name w:val="No Spacing"/>
    <w:link w:val="Style_1_ch"/>
    <w:rPr>
      <w:rFonts w:ascii="Calibri" w:hAnsi="Calibri"/>
      <w:sz w:val="22"/>
    </w:rPr>
  </w:style>
  <w:style w:styleId="Style_1_ch" w:type="character">
    <w:name w:val="No Spacing"/>
    <w:link w:val="Style_1"/>
    <w:rPr>
      <w:rFonts w:ascii="Calibri" w:hAnsi="Calibri"/>
      <w:sz w:val="22"/>
    </w:rPr>
  </w:style>
  <w:style w:styleId="Style_15" w:type="paragraph">
    <w:name w:val="toc 3"/>
    <w:next w:val="Style_3"/>
    <w:link w:val="Style_15_ch"/>
    <w:uiPriority w:val="39"/>
    <w:pPr>
      <w:ind w:firstLine="0" w:left="400"/>
    </w:pPr>
  </w:style>
  <w:style w:styleId="Style_15_ch" w:type="character">
    <w:name w:val="toc 3"/>
    <w:link w:val="Style_15"/>
  </w:style>
  <w:style w:styleId="Style_16" w:type="paragraph">
    <w:name w:val=" Знак Знак2 Char Char Знак Знак Char Char Знак Знак Char Char Знак Знак Char Char Знак Знак Char Char Знак Знак Char Char Знак Знак Char Char Знак Знак Char Char"/>
    <w:basedOn w:val="Style_3"/>
    <w:link w:val="Style_16_ch"/>
    <w:pPr>
      <w:spacing w:afterAutospacing="on" w:beforeAutospacing="on"/>
      <w:ind/>
    </w:pPr>
    <w:rPr>
      <w:rFonts w:ascii="Tahoma" w:hAnsi="Tahoma"/>
      <w:sz w:val="20"/>
    </w:rPr>
  </w:style>
  <w:style w:styleId="Style_16_ch" w:type="character">
    <w:name w:val=" Знак Знак2 Char Char Знак Знак Char Char Знак Знак Char Char Знак Знак Char Char Знак Знак Char Char Знак Знак Char Char Знак Знак Char Char Знак Знак Char Char"/>
    <w:basedOn w:val="Style_3_ch"/>
    <w:link w:val="Style_16"/>
    <w:rPr>
      <w:rFonts w:ascii="Tahoma" w:hAnsi="Tahoma"/>
      <w:sz w:val="20"/>
    </w:rPr>
  </w:style>
  <w:style w:styleId="Style_17" w:type="paragraph">
    <w:name w:val="ng-binding"/>
    <w:link w:val="Style_17_ch"/>
  </w:style>
  <w:style w:styleId="Style_17_ch" w:type="character">
    <w:name w:val="ng-binding"/>
    <w:link w:val="Style_17"/>
  </w:style>
  <w:style w:styleId="Style_18" w:type="paragraph">
    <w:name w:val="Font Style104"/>
    <w:link w:val="Style_18_ch"/>
    <w:rPr>
      <w:rFonts w:ascii="Times New Roman" w:hAnsi="Times New Roman"/>
      <w:sz w:val="32"/>
    </w:rPr>
  </w:style>
  <w:style w:styleId="Style_18_ch" w:type="character">
    <w:name w:val="Font Style104"/>
    <w:link w:val="Style_18"/>
    <w:rPr>
      <w:rFonts w:ascii="Times New Roman" w:hAnsi="Times New Roman"/>
      <w:sz w:val="32"/>
    </w:rPr>
  </w:style>
  <w:style w:styleId="Style_19" w:type="paragraph">
    <w:name w:val="Знак"/>
    <w:basedOn w:val="Style_3"/>
    <w:link w:val="Style_19_ch"/>
    <w:pPr>
      <w:spacing w:after="160" w:line="240" w:lineRule="exact"/>
      <w:ind/>
    </w:pPr>
    <w:rPr>
      <w:rFonts w:ascii="Verdana" w:hAnsi="Verdana"/>
      <w:sz w:val="20"/>
    </w:rPr>
  </w:style>
  <w:style w:styleId="Style_19_ch" w:type="character">
    <w:name w:val="Знак"/>
    <w:basedOn w:val="Style_3_ch"/>
    <w:link w:val="Style_19"/>
    <w:rPr>
      <w:rFonts w:ascii="Verdana" w:hAnsi="Verdana"/>
      <w:sz w:val="20"/>
    </w:rPr>
  </w:style>
  <w:style w:styleId="Style_20" w:type="paragraph">
    <w:name w:val="heading 5"/>
    <w:next w:val="Style_3"/>
    <w:link w:val="Style_20_ch"/>
    <w:uiPriority w:val="9"/>
    <w:qFormat/>
    <w:pPr>
      <w:spacing w:after="120" w:before="120"/>
      <w:ind/>
      <w:outlineLvl w:val="4"/>
    </w:pPr>
    <w:rPr>
      <w:rFonts w:ascii="XO Thames" w:hAnsi="XO Thames"/>
      <w:b w:val="1"/>
      <w:color w:val="000000"/>
      <w:sz w:val="22"/>
    </w:rPr>
  </w:style>
  <w:style w:styleId="Style_20_ch" w:type="character">
    <w:name w:val="heading 5"/>
    <w:link w:val="Style_20"/>
    <w:rPr>
      <w:rFonts w:ascii="XO Thames" w:hAnsi="XO Thames"/>
      <w:b w:val="1"/>
      <w:color w:val="000000"/>
      <w:sz w:val="22"/>
    </w:rPr>
  </w:style>
  <w:style w:styleId="Style_21" w:type="paragraph">
    <w:name w:val="Body Text Indent"/>
    <w:basedOn w:val="Style_3"/>
    <w:link w:val="Style_21_ch"/>
    <w:pPr>
      <w:spacing w:after="120"/>
      <w:ind w:firstLine="0" w:left="283"/>
    </w:pPr>
  </w:style>
  <w:style w:styleId="Style_21_ch" w:type="character">
    <w:name w:val="Body Text Indent"/>
    <w:basedOn w:val="Style_3_ch"/>
    <w:link w:val="Style_21"/>
  </w:style>
  <w:style w:styleId="Style_22" w:type="paragraph">
    <w:name w:val="heading 1"/>
    <w:next w:val="Style_3"/>
    <w:link w:val="Style_22_ch"/>
    <w:uiPriority w:val="9"/>
    <w:qFormat/>
    <w:pPr>
      <w:spacing w:after="120" w:before="120"/>
      <w:ind/>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23" w:type="paragraph">
    <w:name w:val="Знак Знак2 Char Char Знак Знак Char Char Знак Знак Char Char Знак Знак Char Char Знак Знак Char Char Знак Знак Char Char Знак Знак Char Char Знак Знак Char Char"/>
    <w:basedOn w:val="Style_3"/>
    <w:link w:val="Style_23_ch"/>
    <w:pPr>
      <w:spacing w:afterAutospacing="on" w:beforeAutospacing="on"/>
      <w:ind/>
    </w:pPr>
    <w:rPr>
      <w:rFonts w:ascii="Tahoma" w:hAnsi="Tahoma"/>
      <w:sz w:val="20"/>
    </w:rPr>
  </w:style>
  <w:style w:styleId="Style_23_ch" w:type="character">
    <w:name w:val="Знак Знак2 Char Char Знак Знак Char Char Знак Знак Char Char Знак Знак Char Char Знак Знак Char Char Знак Знак Char Char Знак Знак Char Char Знак Знак Char Char"/>
    <w:basedOn w:val="Style_3_ch"/>
    <w:link w:val="Style_23"/>
    <w:rPr>
      <w:rFonts w:ascii="Tahoma" w:hAnsi="Tahoma"/>
      <w:sz w:val="20"/>
    </w:rPr>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link w:val="Style_25_ch"/>
    <w:pPr>
      <w:ind/>
      <w:jc w:val="left"/>
    </w:pPr>
    <w:rPr>
      <w:rFonts w:ascii="XO Thames" w:hAnsi="XO Thames"/>
      <w:sz w:val="22"/>
    </w:rPr>
  </w:style>
  <w:style w:styleId="Style_25_ch" w:type="character">
    <w:name w:val="Footnote"/>
    <w:link w:val="Style_25"/>
    <w:rPr>
      <w:rFonts w:ascii="XO Thames" w:hAnsi="XO Thames"/>
      <w:sz w:val="22"/>
    </w:rPr>
  </w:style>
  <w:style w:styleId="Style_26" w:type="paragraph">
    <w:name w:val="toc 1"/>
    <w:next w:val="Style_3"/>
    <w:link w:val="Style_26_ch"/>
    <w:uiPriority w:val="39"/>
    <w:pPr>
      <w:ind w:firstLine="0" w:left="0"/>
    </w:pPr>
    <w:rPr>
      <w:rFonts w:ascii="XO Thames" w:hAnsi="XO Thames"/>
      <w:b w:val="1"/>
    </w:rPr>
  </w:style>
  <w:style w:styleId="Style_26_ch" w:type="character">
    <w:name w:val="toc 1"/>
    <w:link w:val="Style_26"/>
    <w:rPr>
      <w:rFonts w:ascii="XO Thames" w:hAnsi="XO Thames"/>
      <w:b w:val="1"/>
    </w:rPr>
  </w:style>
  <w:style w:styleId="Style_27" w:type="paragraph">
    <w:name w:val="Header and Footer"/>
    <w:link w:val="Style_27_ch"/>
    <w:pPr>
      <w:spacing w:line="360" w:lineRule="auto"/>
      <w:ind/>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Balloon Text"/>
    <w:basedOn w:val="Style_3"/>
    <w:link w:val="Style_28_ch"/>
    <w:rPr>
      <w:rFonts w:ascii="Tahoma" w:hAnsi="Tahoma"/>
      <w:sz w:val="16"/>
    </w:rPr>
  </w:style>
  <w:style w:styleId="Style_28_ch" w:type="character">
    <w:name w:val="Balloon Text"/>
    <w:basedOn w:val="Style_3_ch"/>
    <w:link w:val="Style_28"/>
    <w:rPr>
      <w:rFonts w:ascii="Tahoma" w:hAnsi="Tahoma"/>
      <w:sz w:val="16"/>
    </w:rPr>
  </w:style>
  <w:style w:styleId="Style_29" w:type="paragraph">
    <w:name w:val="Block Text"/>
    <w:basedOn w:val="Style_3"/>
    <w:link w:val="Style_29_ch"/>
    <w:pPr>
      <w:tabs>
        <w:tab w:leader="none" w:pos="7176" w:val="left"/>
      </w:tabs>
      <w:ind w:firstLine="566" w:left="5" w:right="10"/>
      <w:jc w:val="both"/>
    </w:pPr>
    <w:rPr>
      <w:sz w:val="26"/>
    </w:rPr>
  </w:style>
  <w:style w:styleId="Style_29_ch" w:type="character">
    <w:name w:val="Block Text"/>
    <w:basedOn w:val="Style_3_ch"/>
    <w:link w:val="Style_29"/>
    <w:rPr>
      <w:sz w:val="26"/>
    </w:rPr>
  </w:style>
  <w:style w:styleId="Style_30" w:type="paragraph">
    <w:name w:val="toc 9"/>
    <w:next w:val="Style_3"/>
    <w:link w:val="Style_30_ch"/>
    <w:uiPriority w:val="39"/>
    <w:pPr>
      <w:ind w:firstLine="0" w:left="1600"/>
    </w:pPr>
  </w:style>
  <w:style w:styleId="Style_30_ch" w:type="character">
    <w:name w:val="toc 9"/>
    <w:link w:val="Style_30"/>
  </w:style>
  <w:style w:styleId="Style_31" w:type="paragraph">
    <w:name w:val=" Знак Знак Знак Знак"/>
    <w:basedOn w:val="Style_3"/>
    <w:link w:val="Style_31_ch"/>
    <w:pPr>
      <w:spacing w:afterAutospacing="on" w:beforeAutospacing="on"/>
      <w:ind/>
    </w:pPr>
    <w:rPr>
      <w:rFonts w:ascii="Tahoma" w:hAnsi="Tahoma"/>
      <w:sz w:val="20"/>
    </w:rPr>
  </w:style>
  <w:style w:styleId="Style_31_ch" w:type="character">
    <w:name w:val=" Знак Знак Знак Знак"/>
    <w:basedOn w:val="Style_3_ch"/>
    <w:link w:val="Style_31"/>
    <w:rPr>
      <w:rFonts w:ascii="Tahoma" w:hAnsi="Tahoma"/>
      <w:sz w:val="20"/>
    </w:rPr>
  </w:style>
  <w:style w:styleId="Style_32" w:type="paragraph">
    <w:name w:val="toc 8"/>
    <w:next w:val="Style_3"/>
    <w:link w:val="Style_32_ch"/>
    <w:uiPriority w:val="39"/>
    <w:pPr>
      <w:ind w:firstLine="0" w:left="1400"/>
    </w:pPr>
  </w:style>
  <w:style w:styleId="Style_32_ch" w:type="character">
    <w:name w:val="toc 8"/>
    <w:link w:val="Style_32"/>
  </w:style>
  <w:style w:styleId="Style_33" w:type="paragraph">
    <w:name w:val="FR3"/>
    <w:link w:val="Style_33_ch"/>
    <w:pPr>
      <w:widowControl w:val="0"/>
      <w:spacing w:line="300" w:lineRule="auto"/>
      <w:ind/>
      <w:jc w:val="both"/>
    </w:pPr>
    <w:rPr>
      <w:rFonts w:ascii="Arial Narrow" w:hAnsi="Arial Narrow"/>
      <w:sz w:val="28"/>
    </w:rPr>
  </w:style>
  <w:style w:styleId="Style_33_ch" w:type="character">
    <w:name w:val="FR3"/>
    <w:link w:val="Style_33"/>
    <w:rPr>
      <w:rFonts w:ascii="Arial Narrow" w:hAnsi="Arial Narrow"/>
      <w:sz w:val="28"/>
    </w:rPr>
  </w:style>
  <w:style w:styleId="Style_34" w:type="paragraph">
    <w:name w:val="toc 5"/>
    <w:next w:val="Style_3"/>
    <w:link w:val="Style_34_ch"/>
    <w:uiPriority w:val="39"/>
    <w:pPr>
      <w:ind w:firstLine="0" w:left="800"/>
    </w:pPr>
  </w:style>
  <w:style w:styleId="Style_34_ch" w:type="character">
    <w:name w:val="toc 5"/>
    <w:link w:val="Style_34"/>
  </w:style>
  <w:style w:styleId="Style_35" w:type="paragraph">
    <w:name w:val="Font Style89"/>
    <w:link w:val="Style_35_ch"/>
    <w:rPr>
      <w:rFonts w:ascii="Times New Roman" w:hAnsi="Times New Roman"/>
      <w:b w:val="1"/>
      <w:sz w:val="30"/>
    </w:rPr>
  </w:style>
  <w:style w:styleId="Style_35_ch" w:type="character">
    <w:name w:val="Font Style89"/>
    <w:link w:val="Style_35"/>
    <w:rPr>
      <w:rFonts w:ascii="Times New Roman" w:hAnsi="Times New Roman"/>
      <w:b w:val="1"/>
      <w:sz w:val="30"/>
    </w:rPr>
  </w:style>
  <w:style w:styleId="Style_36" w:type="paragraph">
    <w:name w:val=" Знак Знак"/>
    <w:basedOn w:val="Style_3"/>
    <w:link w:val="Style_36_ch"/>
    <w:pPr>
      <w:spacing w:after="160" w:line="240" w:lineRule="exact"/>
      <w:ind/>
    </w:pPr>
    <w:rPr>
      <w:rFonts w:ascii="Verdana" w:hAnsi="Verdana"/>
      <w:sz w:val="20"/>
    </w:rPr>
  </w:style>
  <w:style w:styleId="Style_36_ch" w:type="character">
    <w:name w:val=" Знак Знак"/>
    <w:basedOn w:val="Style_3_ch"/>
    <w:link w:val="Style_36"/>
    <w:rPr>
      <w:rFonts w:ascii="Verdana" w:hAnsi="Verdana"/>
      <w:sz w:val="20"/>
    </w:rPr>
  </w:style>
  <w:style w:styleId="Style_37" w:type="paragraph">
    <w:name w:val="Subtitle"/>
    <w:next w:val="Style_3"/>
    <w:link w:val="Style_37_ch"/>
    <w:uiPriority w:val="11"/>
    <w:qFormat/>
    <w:rPr>
      <w:rFonts w:ascii="XO Thames" w:hAnsi="XO Thames"/>
      <w:i w:val="1"/>
      <w:color w:val="616161"/>
      <w:sz w:val="24"/>
    </w:rPr>
  </w:style>
  <w:style w:styleId="Style_37_ch" w:type="character">
    <w:name w:val="Subtitle"/>
    <w:link w:val="Style_37"/>
    <w:rPr>
      <w:rFonts w:ascii="XO Thames" w:hAnsi="XO Thames"/>
      <w:i w:val="1"/>
      <w:color w:val="616161"/>
      <w:sz w:val="24"/>
    </w:rPr>
  </w:style>
  <w:style w:styleId="Style_38" w:type="paragraph">
    <w:name w:val="toc 10"/>
    <w:next w:val="Style_3"/>
    <w:link w:val="Style_38_ch"/>
    <w:uiPriority w:val="39"/>
    <w:pPr>
      <w:ind w:firstLine="0" w:left="1800"/>
    </w:pPr>
  </w:style>
  <w:style w:styleId="Style_38_ch" w:type="character">
    <w:name w:val="toc 10"/>
    <w:link w:val="Style_38"/>
  </w:style>
  <w:style w:styleId="Style_39" w:type="paragraph">
    <w:name w:val="Title"/>
    <w:basedOn w:val="Style_3"/>
    <w:next w:val="Style_3"/>
    <w:link w:val="Style_39_ch"/>
    <w:uiPriority w:val="10"/>
    <w:qFormat/>
    <w:pPr>
      <w:spacing w:after="60" w:before="240"/>
      <w:ind/>
      <w:jc w:val="center"/>
      <w:outlineLvl w:val="0"/>
    </w:pPr>
    <w:rPr>
      <w:rFonts w:ascii="Calibri Light" w:hAnsi="Calibri Light"/>
      <w:b w:val="1"/>
      <w:sz w:val="32"/>
    </w:rPr>
  </w:style>
  <w:style w:styleId="Style_39_ch" w:type="character">
    <w:name w:val="Title"/>
    <w:basedOn w:val="Style_3_ch"/>
    <w:link w:val="Style_39"/>
    <w:rPr>
      <w:rFonts w:ascii="Calibri Light" w:hAnsi="Calibri Light"/>
      <w:b w:val="1"/>
      <w:sz w:val="32"/>
    </w:rPr>
  </w:style>
  <w:style w:styleId="Style_40" w:type="paragraph">
    <w:name w:val="heading 4"/>
    <w:basedOn w:val="Style_3"/>
    <w:next w:val="Style_3"/>
    <w:link w:val="Style_40_ch"/>
    <w:uiPriority w:val="9"/>
    <w:qFormat/>
    <w:pPr>
      <w:keepNext w:val="1"/>
      <w:ind/>
      <w:jc w:val="center"/>
      <w:outlineLvl w:val="3"/>
    </w:pPr>
    <w:rPr>
      <w:b w:val="1"/>
      <w:sz w:val="36"/>
    </w:rPr>
  </w:style>
  <w:style w:styleId="Style_40_ch" w:type="character">
    <w:name w:val="heading 4"/>
    <w:basedOn w:val="Style_3_ch"/>
    <w:link w:val="Style_40"/>
    <w:rPr>
      <w:b w:val="1"/>
      <w:sz w:val="36"/>
    </w:rPr>
  </w:style>
  <w:style w:styleId="Style_41" w:type="paragraph">
    <w:name w:val="Body Text"/>
    <w:basedOn w:val="Style_3"/>
    <w:link w:val="Style_41_ch"/>
    <w:pPr>
      <w:ind/>
      <w:jc w:val="both"/>
    </w:pPr>
    <w:rPr>
      <w:sz w:val="26"/>
    </w:rPr>
  </w:style>
  <w:style w:styleId="Style_41_ch" w:type="character">
    <w:name w:val="Body Text"/>
    <w:basedOn w:val="Style_3_ch"/>
    <w:link w:val="Style_41"/>
    <w:rPr>
      <w:sz w:val="26"/>
    </w:rPr>
  </w:style>
  <w:style w:styleId="Style_42" w:type="paragraph">
    <w:name w:val="heading 2"/>
    <w:next w:val="Style_3"/>
    <w:link w:val="Style_42_ch"/>
    <w:uiPriority w:val="9"/>
    <w:qFormat/>
    <w:pPr>
      <w:spacing w:after="120" w:before="120"/>
      <w:ind/>
      <w:outlineLvl w:val="1"/>
    </w:pPr>
    <w:rPr>
      <w:rFonts w:ascii="XO Thames" w:hAnsi="XO Thames"/>
      <w:b w:val="1"/>
      <w:color w:val="00A0FF"/>
      <w:sz w:val="26"/>
    </w:rPr>
  </w:style>
  <w:style w:styleId="Style_42_ch" w:type="character">
    <w:name w:val="heading 2"/>
    <w:link w:val="Style_42"/>
    <w:rPr>
      <w:rFonts w:ascii="XO Thames" w:hAnsi="XO Thames"/>
      <w:b w:val="1"/>
      <w:color w:val="00A0FF"/>
      <w:sz w:val="26"/>
    </w:rPr>
  </w:style>
  <w:style w:styleId="Style_43" w:type="paragraph">
    <w:name w:val="Default Paragraph Font"/>
    <w:link w:val="Style_43_ch"/>
  </w:style>
  <w:style w:styleId="Style_43_ch" w:type="character">
    <w:name w:val="Default Paragraph Font"/>
    <w:link w:val="Style_43"/>
  </w:style>
  <w:style w:default="1" w:styleId="Style_2" w:type="table">
    <w:name w:val="Normal Table"/>
    <w:tblPr>
      <w:tblInd w:type="dxa" w:w="0"/>
      <w:tblCellMar>
        <w:top w:type="dxa" w:w="0"/>
        <w:left w:type="dxa" w:w="108"/>
        <w:bottom w:type="dxa" w:w="0"/>
        <w:right w:type="dxa" w:w="108"/>
      </w:tblCellMar>
    </w:tblPr>
  </w:style>
  <w:style w:styleId="Style_44"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2022-09-30T10:44:47Z</dcterms:modified>
</cp:coreProperties>
</file>